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863C6" w14:textId="77777777" w:rsidR="004F21CF" w:rsidRDefault="00000000">
      <w:pPr>
        <w:spacing w:line="580" w:lineRule="exact"/>
        <w:jc w:val="center"/>
        <w:rPr>
          <w:rFonts w:eastAsia="黑体"/>
          <w:w w:val="95"/>
          <w:sz w:val="44"/>
          <w:szCs w:val="44"/>
        </w:rPr>
      </w:pPr>
      <w:r>
        <w:rPr>
          <w:rFonts w:eastAsia="黑体" w:hint="eastAsia"/>
          <w:w w:val="95"/>
          <w:sz w:val="44"/>
          <w:szCs w:val="44"/>
        </w:rPr>
        <w:t xml:space="preserve">  </w:t>
      </w:r>
    </w:p>
    <w:p w14:paraId="2C988038" w14:textId="77777777" w:rsidR="004F21CF" w:rsidRDefault="004F21CF">
      <w:pPr>
        <w:spacing w:line="580" w:lineRule="exact"/>
        <w:jc w:val="center"/>
        <w:rPr>
          <w:rFonts w:eastAsia="黑体"/>
          <w:w w:val="95"/>
          <w:sz w:val="44"/>
          <w:szCs w:val="44"/>
        </w:rPr>
      </w:pPr>
    </w:p>
    <w:p w14:paraId="717B9D49" w14:textId="77777777" w:rsidR="004F21CF" w:rsidRDefault="004F21CF">
      <w:pPr>
        <w:spacing w:line="580" w:lineRule="exact"/>
        <w:jc w:val="center"/>
        <w:rPr>
          <w:rFonts w:eastAsia="黑体"/>
          <w:w w:val="95"/>
          <w:sz w:val="44"/>
          <w:szCs w:val="44"/>
        </w:rPr>
      </w:pPr>
    </w:p>
    <w:p w14:paraId="2E4DFB86" w14:textId="77777777" w:rsidR="004F21CF" w:rsidRDefault="004F21CF">
      <w:pPr>
        <w:spacing w:line="580" w:lineRule="exact"/>
        <w:jc w:val="center"/>
        <w:rPr>
          <w:rFonts w:eastAsia="黑体"/>
          <w:w w:val="95"/>
          <w:sz w:val="44"/>
          <w:szCs w:val="44"/>
        </w:rPr>
      </w:pPr>
    </w:p>
    <w:p w14:paraId="00B6FCDB" w14:textId="77777777" w:rsidR="004F21CF" w:rsidRDefault="004F21CF">
      <w:pPr>
        <w:spacing w:line="580" w:lineRule="exact"/>
        <w:jc w:val="center"/>
        <w:rPr>
          <w:rFonts w:eastAsia="黑体"/>
          <w:w w:val="95"/>
          <w:sz w:val="44"/>
          <w:szCs w:val="44"/>
        </w:rPr>
      </w:pPr>
    </w:p>
    <w:p w14:paraId="070F0161" w14:textId="77777777" w:rsidR="004F21CF" w:rsidRDefault="004F21CF">
      <w:pPr>
        <w:spacing w:line="580" w:lineRule="exact"/>
        <w:jc w:val="center"/>
        <w:rPr>
          <w:rFonts w:eastAsia="黑体"/>
          <w:w w:val="95"/>
          <w:sz w:val="44"/>
          <w:szCs w:val="44"/>
        </w:rPr>
      </w:pPr>
    </w:p>
    <w:p w14:paraId="65B492F8" w14:textId="77777777" w:rsidR="004F21CF" w:rsidRDefault="00000000">
      <w:pPr>
        <w:spacing w:line="580" w:lineRule="exact"/>
        <w:jc w:val="center"/>
        <w:rPr>
          <w:rFonts w:eastAsia="黑体"/>
          <w:w w:val="95"/>
          <w:sz w:val="44"/>
          <w:szCs w:val="44"/>
        </w:rPr>
      </w:pPr>
      <w:r>
        <w:rPr>
          <w:rFonts w:eastAsia="黑体" w:hint="eastAsia"/>
          <w:w w:val="95"/>
          <w:sz w:val="44"/>
          <w:szCs w:val="44"/>
        </w:rPr>
        <w:tab/>
      </w:r>
      <w:r>
        <w:rPr>
          <w:rFonts w:eastAsia="黑体" w:hint="eastAsia"/>
          <w:w w:val="95"/>
          <w:sz w:val="44"/>
          <w:szCs w:val="44"/>
        </w:rPr>
        <w:tab/>
      </w:r>
    </w:p>
    <w:p w14:paraId="5B772A4B" w14:textId="77777777" w:rsidR="004F21CF" w:rsidRDefault="004F21CF">
      <w:pPr>
        <w:spacing w:line="580" w:lineRule="exact"/>
        <w:jc w:val="center"/>
        <w:rPr>
          <w:rFonts w:eastAsia="黑体"/>
          <w:w w:val="95"/>
          <w:sz w:val="44"/>
          <w:szCs w:val="44"/>
        </w:rPr>
      </w:pPr>
    </w:p>
    <w:p w14:paraId="059E5A83" w14:textId="77777777" w:rsidR="004F21CF" w:rsidRDefault="00000000">
      <w:pPr>
        <w:spacing w:line="240" w:lineRule="auto"/>
        <w:jc w:val="center"/>
        <w:rPr>
          <w:rFonts w:ascii="黑体" w:eastAsia="黑体" w:hAnsi="黑体" w:cs="黑体"/>
          <w:sz w:val="48"/>
          <w:szCs w:val="48"/>
        </w:rPr>
      </w:pPr>
      <w:r>
        <w:rPr>
          <w:rFonts w:ascii="黑体" w:eastAsia="黑体" w:hAnsi="黑体" w:cs="黑体" w:hint="eastAsia"/>
          <w:sz w:val="48"/>
          <w:szCs w:val="48"/>
        </w:rPr>
        <w:t>天津市河北区计量检定所</w:t>
      </w:r>
    </w:p>
    <w:p w14:paraId="27031035" w14:textId="77777777" w:rsidR="004F21CF" w:rsidRDefault="00000000">
      <w:pPr>
        <w:spacing w:line="240" w:lineRule="auto"/>
        <w:jc w:val="center"/>
        <w:rPr>
          <w:rFonts w:ascii="黑体" w:eastAsia="黑体" w:hAnsi="黑体" w:cs="黑体"/>
          <w:sz w:val="48"/>
          <w:szCs w:val="48"/>
        </w:rPr>
      </w:pPr>
      <w:r>
        <w:rPr>
          <w:rFonts w:ascii="黑体" w:eastAsia="黑体" w:hAnsi="黑体" w:cs="黑体" w:hint="eastAsia"/>
          <w:sz w:val="48"/>
          <w:szCs w:val="48"/>
        </w:rPr>
        <w:t>2024年部门预算</w:t>
      </w:r>
    </w:p>
    <w:p w14:paraId="3B919912" w14:textId="77777777" w:rsidR="004F21CF" w:rsidRDefault="004F21CF">
      <w:pPr>
        <w:spacing w:line="240" w:lineRule="auto"/>
        <w:jc w:val="center"/>
        <w:rPr>
          <w:rFonts w:ascii="方正小标宋简体" w:eastAsia="方正小标宋简体" w:hAnsi="方正小标宋简体" w:cs="方正小标宋简体"/>
          <w:w w:val="95"/>
          <w:sz w:val="48"/>
          <w:szCs w:val="48"/>
        </w:rPr>
      </w:pPr>
    </w:p>
    <w:p w14:paraId="5BAA1CE2" w14:textId="77777777" w:rsidR="004F21CF" w:rsidRDefault="004F21CF">
      <w:pPr>
        <w:spacing w:line="580" w:lineRule="exact"/>
        <w:jc w:val="center"/>
        <w:rPr>
          <w:rFonts w:ascii="楷体_GB2312" w:eastAsia="楷体_GB2312"/>
          <w:sz w:val="36"/>
          <w:szCs w:val="36"/>
        </w:rPr>
      </w:pPr>
    </w:p>
    <w:p w14:paraId="2822DFAC" w14:textId="77777777" w:rsidR="004F21CF" w:rsidRDefault="004F21CF">
      <w:pPr>
        <w:spacing w:line="580" w:lineRule="exact"/>
        <w:jc w:val="center"/>
        <w:rPr>
          <w:rFonts w:ascii="黑体" w:eastAsia="黑体"/>
          <w:sz w:val="30"/>
          <w:szCs w:val="30"/>
        </w:rPr>
      </w:pPr>
    </w:p>
    <w:p w14:paraId="5CEB8D98" w14:textId="77777777" w:rsidR="004F21CF" w:rsidRDefault="004F21CF">
      <w:pPr>
        <w:spacing w:line="580" w:lineRule="exact"/>
        <w:jc w:val="center"/>
        <w:rPr>
          <w:rFonts w:ascii="黑体" w:eastAsia="黑体"/>
          <w:sz w:val="30"/>
          <w:szCs w:val="30"/>
        </w:rPr>
      </w:pPr>
    </w:p>
    <w:p w14:paraId="53A3DE54" w14:textId="77777777" w:rsidR="004F21CF" w:rsidRDefault="004F21CF">
      <w:pPr>
        <w:spacing w:line="580" w:lineRule="exact"/>
        <w:jc w:val="center"/>
        <w:rPr>
          <w:rFonts w:ascii="黑体" w:eastAsia="黑体"/>
          <w:sz w:val="30"/>
          <w:szCs w:val="30"/>
        </w:rPr>
      </w:pPr>
    </w:p>
    <w:p w14:paraId="50951BC0" w14:textId="77777777" w:rsidR="004F21CF" w:rsidRDefault="004F21CF">
      <w:pPr>
        <w:spacing w:line="580" w:lineRule="exact"/>
        <w:jc w:val="center"/>
        <w:rPr>
          <w:rFonts w:ascii="黑体" w:eastAsia="黑体"/>
          <w:sz w:val="30"/>
          <w:szCs w:val="30"/>
        </w:rPr>
      </w:pPr>
    </w:p>
    <w:p w14:paraId="0356696C" w14:textId="77777777" w:rsidR="004F21CF" w:rsidRDefault="004F21CF">
      <w:pPr>
        <w:spacing w:line="580" w:lineRule="exact"/>
        <w:jc w:val="center"/>
        <w:rPr>
          <w:rFonts w:ascii="黑体" w:eastAsia="黑体"/>
          <w:sz w:val="30"/>
          <w:szCs w:val="30"/>
        </w:rPr>
      </w:pPr>
    </w:p>
    <w:p w14:paraId="25171174" w14:textId="77777777" w:rsidR="004F21CF" w:rsidRDefault="004F21CF">
      <w:pPr>
        <w:spacing w:line="580" w:lineRule="exact"/>
        <w:jc w:val="center"/>
        <w:rPr>
          <w:rFonts w:ascii="黑体" w:eastAsia="黑体"/>
          <w:sz w:val="30"/>
          <w:szCs w:val="30"/>
        </w:rPr>
      </w:pPr>
    </w:p>
    <w:p w14:paraId="010551FB" w14:textId="77777777" w:rsidR="004F21CF" w:rsidRDefault="004F21CF">
      <w:pPr>
        <w:spacing w:line="580" w:lineRule="exact"/>
        <w:jc w:val="center"/>
        <w:rPr>
          <w:rFonts w:ascii="黑体" w:eastAsia="黑体"/>
          <w:sz w:val="30"/>
          <w:szCs w:val="30"/>
        </w:rPr>
      </w:pPr>
    </w:p>
    <w:p w14:paraId="4426BE8F" w14:textId="77777777" w:rsidR="004F21CF" w:rsidRDefault="004F21CF">
      <w:pPr>
        <w:spacing w:line="580" w:lineRule="exact"/>
        <w:jc w:val="center"/>
        <w:rPr>
          <w:rFonts w:ascii="黑体" w:eastAsia="黑体"/>
          <w:sz w:val="30"/>
          <w:szCs w:val="30"/>
        </w:rPr>
      </w:pPr>
    </w:p>
    <w:p w14:paraId="1D694C85" w14:textId="77777777" w:rsidR="004F21CF" w:rsidRDefault="004F21CF">
      <w:pPr>
        <w:spacing w:line="580" w:lineRule="exact"/>
        <w:jc w:val="center"/>
        <w:rPr>
          <w:rFonts w:ascii="黑体" w:eastAsia="黑体"/>
          <w:sz w:val="30"/>
          <w:szCs w:val="30"/>
        </w:rPr>
      </w:pPr>
    </w:p>
    <w:p w14:paraId="6BA93DB7" w14:textId="77777777" w:rsidR="004F21CF" w:rsidRDefault="004F21CF">
      <w:pPr>
        <w:spacing w:line="580" w:lineRule="exact"/>
        <w:jc w:val="center"/>
        <w:rPr>
          <w:rFonts w:ascii="黑体" w:eastAsia="黑体"/>
          <w:sz w:val="44"/>
          <w:szCs w:val="44"/>
        </w:rPr>
      </w:pPr>
    </w:p>
    <w:p w14:paraId="56B1868C" w14:textId="77777777" w:rsidR="004F21CF" w:rsidRDefault="00000000">
      <w:pPr>
        <w:spacing w:line="600" w:lineRule="exact"/>
        <w:jc w:val="center"/>
        <w:rPr>
          <w:rFonts w:ascii="黑体" w:eastAsia="黑体"/>
          <w:sz w:val="44"/>
          <w:szCs w:val="44"/>
        </w:rPr>
      </w:pPr>
      <w:r>
        <w:rPr>
          <w:rFonts w:ascii="黑体" w:eastAsia="黑体" w:hint="eastAsia"/>
          <w:sz w:val="44"/>
          <w:szCs w:val="44"/>
        </w:rPr>
        <w:lastRenderedPageBreak/>
        <w:t>目   录</w:t>
      </w:r>
    </w:p>
    <w:p w14:paraId="73838671" w14:textId="77777777" w:rsidR="004F21CF" w:rsidRDefault="004F21CF">
      <w:pPr>
        <w:spacing w:line="600" w:lineRule="exact"/>
        <w:rPr>
          <w:rFonts w:ascii="黑体" w:eastAsia="黑体"/>
          <w:sz w:val="30"/>
          <w:szCs w:val="30"/>
        </w:rPr>
      </w:pPr>
    </w:p>
    <w:p w14:paraId="17C9983C" w14:textId="77777777" w:rsidR="004F21CF" w:rsidRDefault="00000000">
      <w:pPr>
        <w:spacing w:line="600" w:lineRule="exact"/>
        <w:rPr>
          <w:rFonts w:ascii="仿宋_GB2312" w:eastAsia="仿宋_GB2312"/>
          <w:b/>
          <w:sz w:val="30"/>
          <w:szCs w:val="30"/>
        </w:rPr>
      </w:pPr>
      <w:r>
        <w:rPr>
          <w:rFonts w:ascii="仿宋_GB2312" w:eastAsia="仿宋_GB2312" w:hint="eastAsia"/>
          <w:b/>
          <w:sz w:val="30"/>
          <w:szCs w:val="30"/>
        </w:rPr>
        <w:t>第一部分  概 况</w:t>
      </w:r>
    </w:p>
    <w:p w14:paraId="2BE200F4"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一、主要职责</w:t>
      </w:r>
    </w:p>
    <w:p w14:paraId="184B4B3D"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二、机构设置情况</w:t>
      </w:r>
    </w:p>
    <w:p w14:paraId="1B921849" w14:textId="77777777" w:rsidR="004F21CF" w:rsidRDefault="00000000">
      <w:pPr>
        <w:spacing w:line="600" w:lineRule="exact"/>
        <w:rPr>
          <w:rFonts w:ascii="仿宋_GB2312" w:eastAsia="仿宋_GB2312"/>
          <w:b/>
          <w:sz w:val="30"/>
          <w:szCs w:val="30"/>
        </w:rPr>
      </w:pPr>
      <w:r>
        <w:rPr>
          <w:rFonts w:ascii="仿宋_GB2312" w:eastAsia="仿宋_GB2312" w:hint="eastAsia"/>
          <w:b/>
          <w:sz w:val="30"/>
          <w:szCs w:val="30"/>
        </w:rPr>
        <w:t>第二部分  2024年部门预算情况说明</w:t>
      </w:r>
    </w:p>
    <w:p w14:paraId="4EBA7A0A"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一、关于收支总体情况表的说明</w:t>
      </w:r>
    </w:p>
    <w:p w14:paraId="62E8C372"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二、关于收入总体情况表的说明</w:t>
      </w:r>
    </w:p>
    <w:p w14:paraId="169EE93F"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三、关于支出总体情况表的说明</w:t>
      </w:r>
    </w:p>
    <w:p w14:paraId="6966E0E3"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四、关于财政拨款收支总体情况表的说明</w:t>
      </w:r>
    </w:p>
    <w:p w14:paraId="2ACE5DDA"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五、关于一般公共预算支出情况的说明</w:t>
      </w:r>
    </w:p>
    <w:p w14:paraId="49F33190"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六、关于一般公共预算基本支出情况表的说明</w:t>
      </w:r>
    </w:p>
    <w:p w14:paraId="11C13217"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七、关于一般公共预算“三公”经费支出情况表的说明</w:t>
      </w:r>
    </w:p>
    <w:p w14:paraId="3BAB487D"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八、关于政府性基金预算支出情况表的说明</w:t>
      </w:r>
    </w:p>
    <w:p w14:paraId="3508BCBA"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九、关于国有资本经营预算支出情况表的说明</w:t>
      </w:r>
    </w:p>
    <w:p w14:paraId="2B3CF2D4"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十、其他重要事项的情况说明</w:t>
      </w:r>
    </w:p>
    <w:p w14:paraId="5C3C7EE3" w14:textId="77777777" w:rsidR="004F21CF" w:rsidRDefault="00000000">
      <w:pPr>
        <w:spacing w:line="600" w:lineRule="exact"/>
        <w:rPr>
          <w:rFonts w:ascii="仿宋_GB2312" w:eastAsia="仿宋_GB2312"/>
          <w:b/>
          <w:sz w:val="30"/>
          <w:szCs w:val="30"/>
        </w:rPr>
      </w:pPr>
      <w:r>
        <w:rPr>
          <w:rFonts w:ascii="仿宋_GB2312" w:eastAsia="仿宋_GB2312" w:hint="eastAsia"/>
          <w:b/>
          <w:sz w:val="30"/>
          <w:szCs w:val="30"/>
        </w:rPr>
        <w:t>第三部分  名词解释</w:t>
      </w:r>
    </w:p>
    <w:p w14:paraId="17DCBC6F" w14:textId="77777777" w:rsidR="004F21CF" w:rsidRDefault="00000000">
      <w:pPr>
        <w:spacing w:line="600" w:lineRule="exact"/>
        <w:rPr>
          <w:rFonts w:ascii="仿宋_GB2312" w:eastAsia="仿宋_GB2312"/>
          <w:b/>
          <w:sz w:val="30"/>
          <w:szCs w:val="30"/>
        </w:rPr>
      </w:pPr>
      <w:r>
        <w:rPr>
          <w:rFonts w:ascii="仿宋_GB2312" w:eastAsia="仿宋_GB2312" w:hint="eastAsia"/>
          <w:b/>
          <w:sz w:val="30"/>
          <w:szCs w:val="30"/>
        </w:rPr>
        <w:t>第四部分  2024年部门预算表</w:t>
      </w:r>
    </w:p>
    <w:p w14:paraId="0A35AC5E"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一、部门收支总体情况表</w:t>
      </w:r>
    </w:p>
    <w:p w14:paraId="482254E9"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二、部门收入总体情况表</w:t>
      </w:r>
    </w:p>
    <w:p w14:paraId="6820426A"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三、部门支出总体情况表</w:t>
      </w:r>
    </w:p>
    <w:p w14:paraId="38A0B932"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四、财政拨款收支总体情况表</w:t>
      </w:r>
    </w:p>
    <w:p w14:paraId="08ED8118"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lastRenderedPageBreak/>
        <w:t>五、一般公共预算支出情况表</w:t>
      </w:r>
    </w:p>
    <w:p w14:paraId="1A7E259A"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六、一般公共预算基本支出情况表</w:t>
      </w:r>
    </w:p>
    <w:p w14:paraId="74753B0A"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七、一般公共预算“三公”经费支出情况表</w:t>
      </w:r>
    </w:p>
    <w:p w14:paraId="5066F461"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八、政府性基金预算支出情况表</w:t>
      </w:r>
    </w:p>
    <w:p w14:paraId="18BA0FEC"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九、国有资本经营预算支出情况表</w:t>
      </w:r>
    </w:p>
    <w:p w14:paraId="35018CAE"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十、项目支出表</w:t>
      </w:r>
    </w:p>
    <w:p w14:paraId="177EAEAE" w14:textId="77777777" w:rsidR="004F21CF" w:rsidRDefault="00000000">
      <w:pPr>
        <w:spacing w:line="600" w:lineRule="exact"/>
        <w:rPr>
          <w:rFonts w:ascii="仿宋_GB2312" w:eastAsia="仿宋_GB2312"/>
          <w:sz w:val="30"/>
          <w:szCs w:val="30"/>
        </w:rPr>
      </w:pPr>
      <w:r>
        <w:rPr>
          <w:rFonts w:ascii="仿宋_GB2312" w:eastAsia="仿宋_GB2312" w:hint="eastAsia"/>
          <w:sz w:val="30"/>
          <w:szCs w:val="30"/>
        </w:rPr>
        <w:t>十一、关于空表的说明</w:t>
      </w:r>
      <w:r>
        <w:rPr>
          <w:rFonts w:ascii="仿宋_GB2312" w:eastAsia="仿宋_GB2312" w:hint="eastAsia"/>
          <w:sz w:val="30"/>
          <w:szCs w:val="30"/>
        </w:rPr>
        <w:tab/>
      </w:r>
    </w:p>
    <w:p w14:paraId="71FFF6EA" w14:textId="77777777" w:rsidR="004F21CF" w:rsidRDefault="00000000">
      <w:pPr>
        <w:spacing w:line="600" w:lineRule="exact"/>
        <w:rPr>
          <w:rFonts w:ascii="仿宋_GB2312" w:eastAsia="仿宋_GB2312"/>
          <w:b/>
          <w:sz w:val="30"/>
          <w:szCs w:val="30"/>
        </w:rPr>
      </w:pPr>
      <w:r>
        <w:rPr>
          <w:rFonts w:ascii="仿宋_GB2312" w:eastAsia="仿宋_GB2312"/>
          <w:b/>
          <w:sz w:val="30"/>
          <w:szCs w:val="30"/>
        </w:rPr>
        <w:fldChar w:fldCharType="begin"/>
      </w:r>
      <w:r>
        <w:rPr>
          <w:rFonts w:ascii="仿宋_GB2312" w:eastAsia="仿宋_GB2312"/>
          <w:b/>
          <w:sz w:val="30"/>
          <w:szCs w:val="30"/>
        </w:rPr>
        <w:instrText xml:space="preserve"> </w:instrText>
      </w:r>
      <w:r>
        <w:rPr>
          <w:rFonts w:ascii="仿宋_GB2312" w:eastAsia="仿宋_GB2312" w:hint="eastAsia"/>
          <w:b/>
          <w:sz w:val="30"/>
          <w:szCs w:val="30"/>
        </w:rPr>
        <w:instrText>TOC \o "1-3" \h \z \u</w:instrText>
      </w:r>
      <w:r>
        <w:rPr>
          <w:rFonts w:ascii="仿宋_GB2312" w:eastAsia="仿宋_GB2312"/>
          <w:b/>
          <w:sz w:val="30"/>
          <w:szCs w:val="30"/>
        </w:rPr>
        <w:instrText xml:space="preserve"> </w:instrText>
      </w:r>
      <w:r>
        <w:rPr>
          <w:rFonts w:ascii="仿宋_GB2312" w:eastAsia="仿宋_GB2312"/>
          <w:b/>
          <w:sz w:val="30"/>
          <w:szCs w:val="30"/>
        </w:rPr>
        <w:fldChar w:fldCharType="separate"/>
      </w:r>
    </w:p>
    <w:p w14:paraId="03B06792" w14:textId="77777777" w:rsidR="004F21CF" w:rsidRDefault="00000000">
      <w:pPr>
        <w:spacing w:line="600" w:lineRule="exact"/>
        <w:jc w:val="both"/>
        <w:rPr>
          <w:rFonts w:ascii="仿宋_GB2312" w:eastAsia="仿宋_GB2312"/>
          <w:sz w:val="30"/>
          <w:szCs w:val="30"/>
        </w:rPr>
      </w:pPr>
      <w:r>
        <w:rPr>
          <w:rFonts w:ascii="仿宋_GB2312" w:eastAsia="仿宋_GB2312"/>
          <w:sz w:val="30"/>
          <w:szCs w:val="30"/>
        </w:rPr>
        <w:fldChar w:fldCharType="end"/>
      </w:r>
    </w:p>
    <w:p w14:paraId="2182098F" w14:textId="77777777" w:rsidR="004F21CF" w:rsidRDefault="004F21CF">
      <w:pPr>
        <w:spacing w:line="600" w:lineRule="exact"/>
        <w:jc w:val="both"/>
        <w:rPr>
          <w:rFonts w:ascii="仿宋_GB2312" w:eastAsia="仿宋_GB2312"/>
          <w:sz w:val="30"/>
          <w:szCs w:val="30"/>
        </w:rPr>
      </w:pPr>
    </w:p>
    <w:p w14:paraId="14B56B4C" w14:textId="77777777" w:rsidR="004F21CF" w:rsidRDefault="004F21CF">
      <w:pPr>
        <w:spacing w:line="600" w:lineRule="exact"/>
        <w:jc w:val="both"/>
        <w:rPr>
          <w:rFonts w:ascii="仿宋_GB2312" w:eastAsia="仿宋_GB2312"/>
          <w:sz w:val="30"/>
          <w:szCs w:val="30"/>
        </w:rPr>
      </w:pPr>
    </w:p>
    <w:p w14:paraId="0EE20CDE" w14:textId="77777777" w:rsidR="004F21CF" w:rsidRDefault="004F21CF">
      <w:pPr>
        <w:spacing w:line="600" w:lineRule="exact"/>
        <w:jc w:val="both"/>
        <w:rPr>
          <w:rFonts w:ascii="仿宋_GB2312" w:eastAsia="仿宋_GB2312"/>
          <w:sz w:val="30"/>
          <w:szCs w:val="30"/>
        </w:rPr>
      </w:pPr>
    </w:p>
    <w:p w14:paraId="1114545A" w14:textId="77777777" w:rsidR="004F21CF" w:rsidRDefault="004F21CF">
      <w:pPr>
        <w:spacing w:line="600" w:lineRule="exact"/>
        <w:jc w:val="both"/>
        <w:rPr>
          <w:rFonts w:ascii="仿宋_GB2312" w:eastAsia="仿宋_GB2312"/>
          <w:sz w:val="30"/>
          <w:szCs w:val="30"/>
        </w:rPr>
      </w:pPr>
    </w:p>
    <w:p w14:paraId="53F4C0E8" w14:textId="77777777" w:rsidR="004F21CF" w:rsidRDefault="004F21CF">
      <w:pPr>
        <w:spacing w:line="600" w:lineRule="exact"/>
        <w:jc w:val="both"/>
        <w:rPr>
          <w:rFonts w:ascii="仿宋_GB2312" w:eastAsia="仿宋_GB2312"/>
          <w:sz w:val="30"/>
          <w:szCs w:val="30"/>
        </w:rPr>
      </w:pPr>
    </w:p>
    <w:p w14:paraId="6F9977AB" w14:textId="77777777" w:rsidR="004F21CF" w:rsidRDefault="004F21CF">
      <w:pPr>
        <w:spacing w:line="600" w:lineRule="exact"/>
        <w:jc w:val="both"/>
        <w:rPr>
          <w:rFonts w:ascii="仿宋_GB2312" w:eastAsia="仿宋_GB2312"/>
          <w:sz w:val="30"/>
          <w:szCs w:val="30"/>
        </w:rPr>
      </w:pPr>
    </w:p>
    <w:p w14:paraId="6D90D0D5" w14:textId="77777777" w:rsidR="004F21CF" w:rsidRDefault="004F21CF">
      <w:pPr>
        <w:spacing w:line="600" w:lineRule="exact"/>
        <w:jc w:val="both"/>
        <w:rPr>
          <w:rFonts w:ascii="仿宋_GB2312" w:eastAsia="仿宋_GB2312"/>
          <w:sz w:val="30"/>
          <w:szCs w:val="30"/>
        </w:rPr>
      </w:pPr>
    </w:p>
    <w:p w14:paraId="67A86301" w14:textId="77777777" w:rsidR="004F21CF" w:rsidRDefault="004F21CF">
      <w:pPr>
        <w:spacing w:line="600" w:lineRule="exact"/>
        <w:jc w:val="both"/>
        <w:rPr>
          <w:rFonts w:ascii="仿宋_GB2312" w:eastAsia="仿宋_GB2312"/>
          <w:sz w:val="30"/>
          <w:szCs w:val="30"/>
        </w:rPr>
      </w:pPr>
    </w:p>
    <w:p w14:paraId="41EAFF4B" w14:textId="77777777" w:rsidR="004F21CF" w:rsidRDefault="004F21CF">
      <w:pPr>
        <w:spacing w:line="600" w:lineRule="exact"/>
        <w:jc w:val="both"/>
        <w:rPr>
          <w:rFonts w:ascii="仿宋_GB2312" w:eastAsia="仿宋_GB2312"/>
          <w:sz w:val="30"/>
          <w:szCs w:val="30"/>
        </w:rPr>
      </w:pPr>
    </w:p>
    <w:p w14:paraId="6F50C998" w14:textId="77777777" w:rsidR="004F21CF" w:rsidRDefault="004F21CF">
      <w:pPr>
        <w:spacing w:line="600" w:lineRule="exact"/>
        <w:jc w:val="both"/>
        <w:rPr>
          <w:rFonts w:eastAsia="黑体"/>
          <w:w w:val="95"/>
          <w:sz w:val="44"/>
          <w:szCs w:val="44"/>
        </w:rPr>
      </w:pPr>
    </w:p>
    <w:p w14:paraId="0952B4E6" w14:textId="77777777" w:rsidR="004F21CF" w:rsidRDefault="004F21CF">
      <w:pPr>
        <w:pStyle w:val="TOC2"/>
        <w:tabs>
          <w:tab w:val="right" w:leader="dot" w:pos="8296"/>
        </w:tabs>
        <w:spacing w:line="600" w:lineRule="exact"/>
        <w:ind w:left="0"/>
        <w:rPr>
          <w:rFonts w:ascii="黑体" w:eastAsia="黑体"/>
          <w:sz w:val="30"/>
          <w:szCs w:val="30"/>
        </w:rPr>
        <w:sectPr w:rsidR="004F21CF" w:rsidSect="00470D1F">
          <w:headerReference w:type="default" r:id="rId6"/>
          <w:footerReference w:type="even" r:id="rId7"/>
          <w:footerReference w:type="default" r:id="rId8"/>
          <w:pgSz w:w="11907" w:h="16840"/>
          <w:pgMar w:top="2098" w:right="1474" w:bottom="1304" w:left="1588" w:header="765" w:footer="765" w:gutter="0"/>
          <w:pgNumType w:fmt="numberInDash" w:start="1"/>
          <w:cols w:space="720"/>
          <w:docGrid w:linePitch="326"/>
        </w:sectPr>
      </w:pPr>
    </w:p>
    <w:p w14:paraId="44F28597" w14:textId="77777777" w:rsidR="004F21CF" w:rsidRDefault="00000000">
      <w:pPr>
        <w:pStyle w:val="1"/>
        <w:spacing w:line="600" w:lineRule="exact"/>
        <w:jc w:val="center"/>
        <w:rPr>
          <w:rFonts w:ascii="黑体" w:eastAsia="黑体" w:hAnsi="黑体" w:cs="黑体"/>
          <w:b w:val="0"/>
        </w:rPr>
      </w:pPr>
      <w:bookmarkStart w:id="0" w:name="_Toc78784554"/>
      <w:r>
        <w:rPr>
          <w:rFonts w:ascii="黑体" w:eastAsia="黑体" w:hAnsi="黑体" w:cs="黑体" w:hint="eastAsia"/>
          <w:b w:val="0"/>
        </w:rPr>
        <w:lastRenderedPageBreak/>
        <w:t>第一部分  概 况</w:t>
      </w:r>
      <w:bookmarkEnd w:id="0"/>
    </w:p>
    <w:p w14:paraId="26FBC7E0" w14:textId="77777777" w:rsidR="004F21CF" w:rsidRDefault="004F21CF">
      <w:pPr>
        <w:spacing w:line="600" w:lineRule="exact"/>
      </w:pPr>
    </w:p>
    <w:p w14:paraId="242FA3EF" w14:textId="77777777" w:rsidR="004F21CF" w:rsidRDefault="00000000">
      <w:pPr>
        <w:pStyle w:val="2"/>
        <w:spacing w:line="600" w:lineRule="exact"/>
        <w:ind w:firstLineChars="200" w:firstLine="602"/>
        <w:rPr>
          <w:rFonts w:ascii="黑体" w:eastAsia="黑体" w:hAnsi="黑体"/>
          <w:sz w:val="30"/>
          <w:szCs w:val="30"/>
        </w:rPr>
      </w:pPr>
      <w:bookmarkStart w:id="1" w:name="_Toc78784555"/>
      <w:r>
        <w:rPr>
          <w:rFonts w:ascii="黑体" w:eastAsia="黑体" w:hAnsi="黑体" w:hint="eastAsia"/>
          <w:sz w:val="30"/>
          <w:szCs w:val="30"/>
        </w:rPr>
        <w:t>一、主要职责</w:t>
      </w:r>
      <w:bookmarkEnd w:id="1"/>
    </w:p>
    <w:p w14:paraId="52B0CD35" w14:textId="77777777" w:rsidR="004F21CF" w:rsidRDefault="00000000">
      <w:pPr>
        <w:autoSpaceDE w:val="0"/>
        <w:autoSpaceDN w:val="0"/>
        <w:spacing w:line="580" w:lineRule="exact"/>
        <w:ind w:firstLineChars="200" w:firstLine="600"/>
        <w:textAlignment w:val="auto"/>
        <w:rPr>
          <w:rFonts w:ascii="仿宋_GB2312" w:eastAsia="仿宋_GB2312"/>
          <w:sz w:val="30"/>
          <w:szCs w:val="30"/>
        </w:rPr>
      </w:pPr>
      <w:bookmarkStart w:id="2" w:name="_Toc78784556"/>
      <w:r>
        <w:rPr>
          <w:rFonts w:ascii="仿宋_GB2312" w:eastAsia="仿宋_GB2312" w:hint="eastAsia"/>
          <w:sz w:val="30"/>
          <w:szCs w:val="30"/>
        </w:rPr>
        <w:t>为量值准确提供测试检定保障。工作计量器具强制检定、工作计量器具检定测试与校准、计量技术咨询、计量技术服务、计量技术人员技术培训。</w:t>
      </w:r>
    </w:p>
    <w:p w14:paraId="63BD4BBC" w14:textId="77777777" w:rsidR="004F21CF" w:rsidRDefault="00000000">
      <w:pPr>
        <w:pStyle w:val="2"/>
        <w:spacing w:line="600" w:lineRule="exact"/>
        <w:ind w:firstLineChars="200" w:firstLine="602"/>
        <w:rPr>
          <w:rFonts w:ascii="黑体" w:eastAsia="黑体" w:hAnsi="黑体"/>
          <w:sz w:val="30"/>
          <w:szCs w:val="30"/>
        </w:rPr>
      </w:pPr>
      <w:r>
        <w:rPr>
          <w:rFonts w:ascii="黑体" w:eastAsia="黑体" w:hAnsi="黑体" w:hint="eastAsia"/>
          <w:sz w:val="30"/>
          <w:szCs w:val="30"/>
        </w:rPr>
        <w:t>二、机构设置</w:t>
      </w:r>
      <w:bookmarkEnd w:id="2"/>
      <w:r>
        <w:rPr>
          <w:rFonts w:ascii="黑体" w:eastAsia="黑体" w:hAnsi="黑体" w:hint="eastAsia"/>
          <w:sz w:val="30"/>
          <w:szCs w:val="30"/>
        </w:rPr>
        <w:t>情况</w:t>
      </w:r>
    </w:p>
    <w:p w14:paraId="700F5132" w14:textId="77777777" w:rsidR="004F21CF" w:rsidRDefault="00000000">
      <w:pPr>
        <w:autoSpaceDE w:val="0"/>
        <w:autoSpaceDN w:val="0"/>
        <w:spacing w:line="580" w:lineRule="exact"/>
        <w:ind w:firstLineChars="200" w:firstLine="600"/>
        <w:textAlignment w:val="auto"/>
        <w:rPr>
          <w:rFonts w:ascii="仿宋_GB2312" w:eastAsia="仿宋_GB2312"/>
          <w:sz w:val="30"/>
          <w:szCs w:val="30"/>
        </w:rPr>
      </w:pPr>
      <w:r>
        <w:rPr>
          <w:rFonts w:ascii="仿宋_GB2312" w:eastAsia="仿宋_GB2312" w:hint="eastAsia"/>
          <w:sz w:val="30"/>
          <w:szCs w:val="30"/>
        </w:rPr>
        <w:t>天津市河北区计量检定所内设0个职能处室；下辖1个预算单位。</w:t>
      </w:r>
    </w:p>
    <w:p w14:paraId="16AAEC91" w14:textId="77777777" w:rsidR="004F21CF" w:rsidRDefault="00000000">
      <w:pPr>
        <w:autoSpaceDE w:val="0"/>
        <w:autoSpaceDN w:val="0"/>
        <w:spacing w:line="580" w:lineRule="exact"/>
        <w:ind w:firstLineChars="200" w:firstLine="600"/>
        <w:textAlignment w:val="auto"/>
        <w:rPr>
          <w:rFonts w:ascii="仿宋_GB2312" w:eastAsia="仿宋_GB2312"/>
          <w:sz w:val="30"/>
          <w:szCs w:val="30"/>
        </w:rPr>
      </w:pPr>
      <w:r>
        <w:rPr>
          <w:rFonts w:ascii="仿宋_GB2312" w:eastAsia="仿宋_GB2312" w:hint="eastAsia"/>
          <w:sz w:val="30"/>
          <w:szCs w:val="30"/>
        </w:rPr>
        <w:t>纳入天津市河北区计量检定所2024年部门预算编制范围的预算单位包括：</w:t>
      </w:r>
    </w:p>
    <w:p w14:paraId="364244D4" w14:textId="77777777" w:rsidR="004F21CF" w:rsidRDefault="00000000">
      <w:pPr>
        <w:spacing w:line="600" w:lineRule="exact"/>
        <w:ind w:firstLine="600"/>
        <w:jc w:val="both"/>
        <w:rPr>
          <w:rFonts w:ascii="仿宋_GB2312" w:eastAsia="仿宋_GB2312"/>
          <w:sz w:val="30"/>
          <w:szCs w:val="30"/>
        </w:rPr>
        <w:sectPr w:rsidR="004F21CF" w:rsidSect="00470D1F">
          <w:footerReference w:type="default" r:id="rId9"/>
          <w:pgSz w:w="11907" w:h="16840"/>
          <w:pgMar w:top="2098" w:right="1474" w:bottom="1304" w:left="1588" w:header="765" w:footer="765" w:gutter="0"/>
          <w:pgNumType w:fmt="numberInDash" w:start="1"/>
          <w:cols w:space="720"/>
          <w:docGrid w:linePitch="326"/>
        </w:sectPr>
      </w:pPr>
      <w:r>
        <w:rPr>
          <w:rFonts w:ascii="仿宋_GB2312" w:eastAsia="仿宋_GB2312" w:hint="eastAsia"/>
          <w:sz w:val="30"/>
          <w:szCs w:val="30"/>
        </w:rPr>
        <w:t>1.天津市河北区计量检定所</w:t>
      </w:r>
    </w:p>
    <w:p w14:paraId="27573DCD" w14:textId="77777777" w:rsidR="004F21CF" w:rsidRDefault="00000000">
      <w:pPr>
        <w:pStyle w:val="1"/>
        <w:spacing w:line="600" w:lineRule="exact"/>
        <w:jc w:val="center"/>
        <w:rPr>
          <w:rFonts w:ascii="黑体" w:eastAsia="黑体"/>
          <w:sz w:val="30"/>
          <w:szCs w:val="30"/>
        </w:rPr>
      </w:pPr>
      <w:bookmarkStart w:id="3" w:name="_Toc78784570"/>
      <w:r>
        <w:rPr>
          <w:rFonts w:ascii="黑体" w:eastAsia="黑体" w:hAnsi="黑体" w:cs="黑体" w:hint="eastAsia"/>
        </w:rPr>
        <w:lastRenderedPageBreak/>
        <w:t>第二部分  2024年部门预算情况说明</w:t>
      </w:r>
      <w:bookmarkEnd w:id="3"/>
    </w:p>
    <w:p w14:paraId="58EAB192" w14:textId="77777777" w:rsidR="004F21CF" w:rsidRDefault="00000000">
      <w:pPr>
        <w:pStyle w:val="2"/>
        <w:spacing w:line="600" w:lineRule="exact"/>
        <w:ind w:firstLineChars="200" w:firstLine="600"/>
        <w:rPr>
          <w:rFonts w:ascii="黑体" w:eastAsia="黑体" w:hAnsi="黑体"/>
          <w:b w:val="0"/>
          <w:sz w:val="30"/>
          <w:szCs w:val="30"/>
        </w:rPr>
      </w:pPr>
      <w:bookmarkStart w:id="4" w:name="_Toc78784571"/>
      <w:r>
        <w:rPr>
          <w:rFonts w:ascii="黑体" w:eastAsia="黑体" w:hAnsi="黑体" w:hint="eastAsia"/>
          <w:b w:val="0"/>
          <w:sz w:val="30"/>
          <w:szCs w:val="30"/>
        </w:rPr>
        <w:t>一、关于收支总体情况</w:t>
      </w:r>
      <w:bookmarkEnd w:id="4"/>
      <w:r>
        <w:rPr>
          <w:rFonts w:ascii="黑体" w:eastAsia="黑体" w:hAnsi="黑体" w:hint="eastAsia"/>
          <w:b w:val="0"/>
          <w:sz w:val="30"/>
          <w:szCs w:val="30"/>
        </w:rPr>
        <w:t>表的说明</w:t>
      </w:r>
    </w:p>
    <w:p w14:paraId="3EAB0E8C" w14:textId="77777777" w:rsidR="004F21CF" w:rsidRDefault="00000000">
      <w:pPr>
        <w:spacing w:line="600" w:lineRule="exact"/>
        <w:ind w:firstLineChars="200" w:firstLine="600"/>
        <w:rPr>
          <w:rFonts w:eastAsia="仿宋_GB2312"/>
          <w:sz w:val="30"/>
          <w:szCs w:val="30"/>
        </w:rPr>
      </w:pPr>
      <w:r>
        <w:rPr>
          <w:rFonts w:ascii="仿宋_GB2312" w:eastAsia="仿宋_GB2312" w:hint="eastAsia"/>
          <w:sz w:val="30"/>
          <w:szCs w:val="30"/>
        </w:rPr>
        <w:t>按照综合预算的原则，天津市河北区计量检定所所有收入和支出均纳入部门预算管理。收入包括：一般公共预算拨款收入1,465,692.00元、政府性基金预算拨款收入0.00元、国有资本经营预算拨款收入0.00元、财政专户管理资金收入0.00元、事业收入0.00元、事业单位经营收入151,000.00元、上级补助收入0.00元、附属单位上缴收入0.00元、其他收入0.00元、上年结转结余0.00元；支出包括：一般公共服务支出1,354,246.00元、社会保障和就业支出169,012.00元、卫生健康支出93,434.00元。天津市河北区计量检定所2024年收支总预算1,616,692.00元。</w:t>
      </w:r>
    </w:p>
    <w:p w14:paraId="4359E8E6" w14:textId="77777777" w:rsidR="004F21CF" w:rsidRDefault="00000000">
      <w:pPr>
        <w:pStyle w:val="2"/>
        <w:spacing w:line="600" w:lineRule="exact"/>
        <w:ind w:firstLineChars="200" w:firstLine="600"/>
        <w:rPr>
          <w:rFonts w:ascii="黑体" w:eastAsia="黑体" w:hAnsi="黑体" w:cs="仿宋_GB2312"/>
          <w:b w:val="0"/>
          <w:sz w:val="30"/>
          <w:szCs w:val="30"/>
        </w:rPr>
      </w:pPr>
      <w:bookmarkStart w:id="5" w:name="_Toc78784572"/>
      <w:r>
        <w:rPr>
          <w:rFonts w:ascii="黑体" w:eastAsia="黑体" w:hAnsi="黑体" w:cs="仿宋_GB2312" w:hint="eastAsia"/>
          <w:b w:val="0"/>
          <w:sz w:val="30"/>
          <w:szCs w:val="30"/>
        </w:rPr>
        <w:t>二、关于收入总体情况</w:t>
      </w:r>
      <w:bookmarkEnd w:id="5"/>
      <w:r>
        <w:rPr>
          <w:rFonts w:ascii="黑体" w:eastAsia="黑体" w:hAnsi="黑体" w:cs="仿宋_GB2312" w:hint="eastAsia"/>
          <w:b w:val="0"/>
          <w:sz w:val="30"/>
          <w:szCs w:val="30"/>
        </w:rPr>
        <w:t>表的说明</w:t>
      </w:r>
    </w:p>
    <w:p w14:paraId="6B48A9CD" w14:textId="77777777" w:rsidR="004F21CF" w:rsidRDefault="00000000">
      <w:pPr>
        <w:spacing w:line="600" w:lineRule="exact"/>
        <w:ind w:firstLineChars="200" w:firstLine="600"/>
        <w:rPr>
          <w:rFonts w:eastAsia="仿宋_GB2312"/>
          <w:sz w:val="30"/>
          <w:szCs w:val="30"/>
        </w:rPr>
      </w:pPr>
      <w:r>
        <w:rPr>
          <w:rFonts w:ascii="仿宋_GB2312" w:eastAsia="仿宋_GB2312" w:hint="eastAsia"/>
          <w:sz w:val="30"/>
          <w:szCs w:val="30"/>
        </w:rPr>
        <w:t>天津市河北区计量检定所2024年部门预算收入1,616,692.00元，与2023年预算相比减少46,610.00元，主要原因是厉行节约，减少开支。其中：上年结转结余0.00元，占0.00%；一般公共预算1,465,692.00元，占90.66%；政府性基金预算0.00元，占0.00%；国有资本经营预算0.00元，占0.00%；财政专户管理资金0.00元，占0.00%；事业收入0.00元，占0.00%；事业单位经营收入151,000.00元，占9.34%；上级补助收入0.00元，占0.00%；附属单位上缴收</w:t>
      </w:r>
      <w:r>
        <w:rPr>
          <w:rFonts w:ascii="仿宋_GB2312" w:eastAsia="仿宋_GB2312" w:hint="eastAsia"/>
          <w:sz w:val="30"/>
          <w:szCs w:val="30"/>
        </w:rPr>
        <w:lastRenderedPageBreak/>
        <w:t>入0.00元，占0.00%；其他收入0.00元，占0.00%。</w:t>
      </w:r>
    </w:p>
    <w:p w14:paraId="5DA70D0A" w14:textId="77777777" w:rsidR="004F21CF" w:rsidRDefault="00000000">
      <w:pPr>
        <w:pStyle w:val="2"/>
        <w:spacing w:line="600" w:lineRule="exact"/>
        <w:ind w:firstLineChars="200" w:firstLine="600"/>
        <w:rPr>
          <w:rFonts w:ascii="黑体" w:eastAsia="黑体" w:hAnsi="黑体" w:cs="仿宋_GB2312"/>
          <w:b w:val="0"/>
          <w:sz w:val="30"/>
          <w:szCs w:val="30"/>
        </w:rPr>
      </w:pPr>
      <w:bookmarkStart w:id="6" w:name="_Toc78784573"/>
      <w:r>
        <w:rPr>
          <w:rFonts w:ascii="黑体" w:eastAsia="黑体" w:hAnsi="黑体" w:cs="仿宋_GB2312" w:hint="eastAsia"/>
          <w:b w:val="0"/>
          <w:sz w:val="30"/>
          <w:szCs w:val="30"/>
        </w:rPr>
        <w:t>三、关于</w:t>
      </w:r>
      <w:r>
        <w:rPr>
          <w:rFonts w:ascii="黑体" w:eastAsia="黑体" w:hAnsi="黑体" w:cs="仿宋_GB2312"/>
          <w:b w:val="0"/>
          <w:sz w:val="30"/>
          <w:szCs w:val="30"/>
        </w:rPr>
        <w:t>支出</w:t>
      </w:r>
      <w:r>
        <w:rPr>
          <w:rFonts w:ascii="黑体" w:eastAsia="黑体" w:hAnsi="黑体" w:cs="仿宋_GB2312" w:hint="eastAsia"/>
          <w:b w:val="0"/>
          <w:sz w:val="30"/>
          <w:szCs w:val="30"/>
        </w:rPr>
        <w:t>总体情况表</w:t>
      </w:r>
      <w:bookmarkEnd w:id="6"/>
      <w:r>
        <w:rPr>
          <w:rFonts w:ascii="黑体" w:eastAsia="黑体" w:hAnsi="黑体" w:cs="仿宋_GB2312" w:hint="eastAsia"/>
          <w:b w:val="0"/>
          <w:sz w:val="30"/>
          <w:szCs w:val="30"/>
        </w:rPr>
        <w:t>的说明</w:t>
      </w:r>
    </w:p>
    <w:p w14:paraId="6CAC244D" w14:textId="77777777" w:rsidR="004F21CF" w:rsidRDefault="00000000">
      <w:pPr>
        <w:spacing w:line="600" w:lineRule="exact"/>
        <w:ind w:firstLineChars="200" w:firstLine="600"/>
        <w:rPr>
          <w:rFonts w:eastAsia="仿宋_GB2312"/>
          <w:sz w:val="30"/>
          <w:szCs w:val="30"/>
        </w:rPr>
      </w:pPr>
      <w:bookmarkStart w:id="7" w:name="_Toc78784574"/>
      <w:r>
        <w:rPr>
          <w:rFonts w:ascii="仿宋_GB2312" w:eastAsia="仿宋_GB2312" w:hint="eastAsia"/>
          <w:sz w:val="30"/>
          <w:szCs w:val="30"/>
        </w:rPr>
        <w:t>天津市河北区计量检定所2024年支出预算1,616,692.00元，与2023年预算相比减少46,610.00元，主要原因是厉行节约，减少开支。其中：基本支出1,602,517.00元，占99.12%；项目支出14,175.00元，占0.88%；事业单位经营支出0.00元，占0.00%；上缴上级支出0.00元，占0.00%；对附属单位补助支出0.00元，占0.00%。</w:t>
      </w:r>
    </w:p>
    <w:p w14:paraId="22F99EDA" w14:textId="77777777" w:rsidR="004F21CF" w:rsidRDefault="00000000">
      <w:pPr>
        <w:pStyle w:val="2"/>
        <w:spacing w:line="600" w:lineRule="exact"/>
        <w:ind w:firstLineChars="200" w:firstLine="600"/>
        <w:rPr>
          <w:rFonts w:ascii="黑体" w:eastAsia="黑体" w:hAnsi="黑体"/>
          <w:b w:val="0"/>
          <w:sz w:val="30"/>
          <w:szCs w:val="30"/>
        </w:rPr>
      </w:pPr>
      <w:r>
        <w:rPr>
          <w:rFonts w:ascii="黑体" w:eastAsia="黑体" w:hAnsi="黑体" w:hint="eastAsia"/>
          <w:b w:val="0"/>
          <w:sz w:val="30"/>
          <w:szCs w:val="30"/>
        </w:rPr>
        <w:t>四、关于财政拨款收支总体情况表</w:t>
      </w:r>
      <w:bookmarkEnd w:id="7"/>
      <w:r>
        <w:rPr>
          <w:rFonts w:ascii="黑体" w:eastAsia="黑体" w:hAnsi="黑体" w:hint="eastAsia"/>
          <w:b w:val="0"/>
          <w:sz w:val="30"/>
          <w:szCs w:val="30"/>
        </w:rPr>
        <w:t>的说明</w:t>
      </w:r>
    </w:p>
    <w:p w14:paraId="5D4FD4DB" w14:textId="77777777" w:rsidR="004F21CF" w:rsidRDefault="00000000">
      <w:pPr>
        <w:spacing w:line="600" w:lineRule="exact"/>
        <w:ind w:firstLineChars="200" w:firstLine="600"/>
        <w:rPr>
          <w:rFonts w:eastAsia="仿宋_GB2312"/>
          <w:sz w:val="30"/>
          <w:szCs w:val="30"/>
        </w:rPr>
      </w:pPr>
      <w:bookmarkStart w:id="8" w:name="_Toc78784575"/>
      <w:r>
        <w:rPr>
          <w:rFonts w:ascii="仿宋_GB2312" w:eastAsia="仿宋_GB2312" w:hint="eastAsia"/>
          <w:sz w:val="30"/>
          <w:szCs w:val="30"/>
        </w:rPr>
        <w:t>天津市河北区计量检定所2024年财政拨款收入预算1,465,692.00元，与2023年预算相比减少610.00元，主要原因是厉行节约，减少开支。收入包括：一般公共预算拨款收入1,465,692.00元、政府性基金预算拨款收入0.00元、国有资本经营预算拨款收入0.00元、上年财政结转结余0.00元。2024年财政拨款支出预算1,465,692.00元，与2023年预算相比减少610.00元，主要原因是厉行节约，减少开支。支出包括：一般公共服务支出1,203,246.00元、社会保障和就业支出169,012.00元、卫生健康支出93,434.00元。</w:t>
      </w:r>
    </w:p>
    <w:p w14:paraId="5AA5B038" w14:textId="77777777" w:rsidR="004F21CF" w:rsidRDefault="00000000">
      <w:pPr>
        <w:pStyle w:val="2"/>
        <w:spacing w:line="600" w:lineRule="exact"/>
        <w:ind w:firstLineChars="200" w:firstLine="600"/>
        <w:rPr>
          <w:rFonts w:ascii="黑体" w:eastAsia="黑体" w:hAnsi="黑体"/>
          <w:b w:val="0"/>
          <w:sz w:val="30"/>
          <w:szCs w:val="30"/>
        </w:rPr>
      </w:pPr>
      <w:r>
        <w:rPr>
          <w:rFonts w:ascii="黑体" w:eastAsia="黑体" w:hAnsi="黑体"/>
          <w:b w:val="0"/>
          <w:sz w:val="30"/>
          <w:szCs w:val="30"/>
        </w:rPr>
        <w:lastRenderedPageBreak/>
        <w:t>五</w:t>
      </w:r>
      <w:r>
        <w:rPr>
          <w:rFonts w:ascii="黑体" w:eastAsia="黑体" w:hAnsi="黑体" w:hint="eastAsia"/>
          <w:b w:val="0"/>
          <w:sz w:val="30"/>
          <w:szCs w:val="30"/>
        </w:rPr>
        <w:t>、关于</w:t>
      </w:r>
      <w:r>
        <w:rPr>
          <w:rFonts w:ascii="黑体" w:eastAsia="黑体" w:hAnsi="黑体"/>
          <w:b w:val="0"/>
          <w:sz w:val="30"/>
          <w:szCs w:val="30"/>
        </w:rPr>
        <w:t>一般公共预算支出</w:t>
      </w:r>
      <w:r>
        <w:rPr>
          <w:rFonts w:ascii="黑体" w:eastAsia="黑体" w:hAnsi="黑体" w:hint="eastAsia"/>
          <w:b w:val="0"/>
          <w:sz w:val="30"/>
          <w:szCs w:val="30"/>
        </w:rPr>
        <w:t>情况表</w:t>
      </w:r>
      <w:bookmarkEnd w:id="8"/>
      <w:r>
        <w:rPr>
          <w:rFonts w:ascii="黑体" w:eastAsia="黑体" w:hAnsi="黑体" w:hint="eastAsia"/>
          <w:b w:val="0"/>
          <w:sz w:val="30"/>
          <w:szCs w:val="30"/>
        </w:rPr>
        <w:t>的说明</w:t>
      </w:r>
    </w:p>
    <w:p w14:paraId="21664C4E" w14:textId="77777777" w:rsidR="004F21CF"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（一）总体情况。</w:t>
      </w:r>
    </w:p>
    <w:p w14:paraId="6C8A1EC1" w14:textId="77777777" w:rsidR="004F21CF" w:rsidRDefault="00000000">
      <w:pPr>
        <w:spacing w:line="600" w:lineRule="exact"/>
        <w:ind w:firstLineChars="200" w:firstLine="600"/>
        <w:rPr>
          <w:rFonts w:eastAsia="仿宋_GB2312"/>
          <w:sz w:val="30"/>
          <w:szCs w:val="30"/>
        </w:rPr>
      </w:pPr>
      <w:r>
        <w:rPr>
          <w:rFonts w:ascii="仿宋_GB2312" w:eastAsia="仿宋_GB2312" w:hint="eastAsia"/>
          <w:sz w:val="30"/>
          <w:szCs w:val="30"/>
        </w:rPr>
        <w:t>天津市河北区计量检定所2024年一般公共预算支出1,465,692.00元，与2023年预算相比减少610.00元，主要原因是厉行节约，减少开支。</w:t>
      </w:r>
    </w:p>
    <w:p w14:paraId="09CACAD4" w14:textId="77777777" w:rsidR="004F21CF"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（二）具体情况。</w:t>
      </w:r>
    </w:p>
    <w:p w14:paraId="43D3CC1B" w14:textId="77777777" w:rsidR="004F21CF" w:rsidRDefault="00000000">
      <w:pPr>
        <w:spacing w:line="600" w:lineRule="exact"/>
        <w:ind w:firstLineChars="200" w:firstLine="600"/>
        <w:rPr>
          <w:rFonts w:eastAsia="仿宋_GB2312"/>
          <w:sz w:val="30"/>
          <w:szCs w:val="30"/>
        </w:rPr>
      </w:pPr>
      <w:r>
        <w:rPr>
          <w:rFonts w:ascii="仿宋_GB2312" w:eastAsia="仿宋_GB2312" w:hint="eastAsia"/>
          <w:sz w:val="30"/>
          <w:szCs w:val="30"/>
        </w:rPr>
        <w:t>1.“一般公共服务支出（类）”1,203,246.00元，与2023年预算相比减少32,333.00元，主要原因是厉行节约，减少开支。其中：</w:t>
      </w:r>
      <w:r>
        <w:rPr>
          <w:rFonts w:ascii="仿宋_GB2312" w:eastAsia="仿宋_GB2312" w:hint="eastAsia"/>
          <w:sz w:val="30"/>
          <w:szCs w:val="30"/>
        </w:rPr>
        <w:br/>
        <w:t xml:space="preserve">　　“对外联络事务（款）”91,720.00元，包括：“事业运行（项）”91,720.00元，主要用于单位外聘人员工资支出。</w:t>
      </w:r>
      <w:r>
        <w:rPr>
          <w:rFonts w:ascii="仿宋_GB2312" w:eastAsia="仿宋_GB2312" w:hint="eastAsia"/>
          <w:sz w:val="30"/>
          <w:szCs w:val="30"/>
        </w:rPr>
        <w:br/>
        <w:t xml:space="preserve">　　“市场监督管理事务（款）”1,111,526.00元，包括：“事业运行（项）”1,111,526.00元，主要用于本单位运行相关支出。</w:t>
      </w:r>
      <w:r>
        <w:rPr>
          <w:rFonts w:ascii="仿宋_GB2312" w:eastAsia="仿宋_GB2312" w:hint="eastAsia"/>
          <w:sz w:val="30"/>
          <w:szCs w:val="30"/>
        </w:rPr>
        <w:br/>
        <w:t xml:space="preserve">　　2.“社会保障和就业支出（类）”169,012.00元，与2023年预算相比增加1,101.00元，主要原因是保险基数的调整。其中：</w:t>
      </w:r>
      <w:r>
        <w:rPr>
          <w:rFonts w:ascii="仿宋_GB2312" w:eastAsia="仿宋_GB2312" w:hint="eastAsia"/>
          <w:sz w:val="30"/>
          <w:szCs w:val="30"/>
        </w:rPr>
        <w:br/>
        <w:t xml:space="preserve">　　“行政事业单位养老支出（款）”169,012.00元，包括：“事业单位离退休（项）”24,340.00元，主要用于退休人员相关支出。“机关事业单位基本养老保险缴费支出（项）”96,448.00元，主要用于机关事业单位基本养老保险缴费支出。“机关事业单位职业年金缴费支出（项）”48,224.00元，主要用于机关事业单位职业年金缴费支出。</w:t>
      </w:r>
      <w:r>
        <w:rPr>
          <w:rFonts w:ascii="仿宋_GB2312" w:eastAsia="仿宋_GB2312" w:hint="eastAsia"/>
          <w:sz w:val="30"/>
          <w:szCs w:val="30"/>
        </w:rPr>
        <w:br/>
        <w:t xml:space="preserve">　　3.“卫生健康支出（类）”93,434.00元，与2023年预算相比</w:t>
      </w:r>
      <w:r>
        <w:rPr>
          <w:rFonts w:ascii="仿宋_GB2312" w:eastAsia="仿宋_GB2312" w:hint="eastAsia"/>
          <w:sz w:val="30"/>
          <w:szCs w:val="30"/>
        </w:rPr>
        <w:lastRenderedPageBreak/>
        <w:t>增加30,622.00元，主要原因是支出科目的变动。其中：</w:t>
      </w:r>
      <w:r>
        <w:rPr>
          <w:rFonts w:ascii="仿宋_GB2312" w:eastAsia="仿宋_GB2312" w:hint="eastAsia"/>
          <w:sz w:val="30"/>
          <w:szCs w:val="30"/>
        </w:rPr>
        <w:br/>
        <w:t xml:space="preserve">　　“行政事业单位医疗（款）”93,434.00元，包括：“事业单位医疗（项）”63,294.00元，主要用于本单位医疗支出。“其他行政事业单位医疗支出（项）”30,140.00元，主要用于本单位医疗补助支出。</w:t>
      </w:r>
    </w:p>
    <w:p w14:paraId="2F49FE47" w14:textId="77777777" w:rsidR="004F21CF" w:rsidRDefault="004F21CF">
      <w:pPr>
        <w:spacing w:line="600" w:lineRule="exact"/>
        <w:rPr>
          <w:rFonts w:ascii="楷体" w:eastAsia="楷体" w:hAnsi="楷体" w:cs="仿宋_GB2312"/>
          <w:b/>
          <w:sz w:val="30"/>
          <w:szCs w:val="30"/>
        </w:rPr>
      </w:pPr>
    </w:p>
    <w:p w14:paraId="44ACB4CC" w14:textId="77777777" w:rsidR="004F21CF" w:rsidRDefault="00000000">
      <w:pPr>
        <w:pStyle w:val="2"/>
        <w:spacing w:line="600" w:lineRule="exact"/>
        <w:ind w:firstLineChars="200" w:firstLine="600"/>
        <w:rPr>
          <w:rFonts w:ascii="黑体" w:eastAsia="黑体" w:hAnsi="黑体"/>
          <w:b w:val="0"/>
          <w:sz w:val="30"/>
          <w:szCs w:val="30"/>
        </w:rPr>
      </w:pPr>
      <w:bookmarkStart w:id="9" w:name="_Toc78784576"/>
      <w:r>
        <w:rPr>
          <w:rFonts w:ascii="黑体" w:eastAsia="黑体" w:hAnsi="黑体"/>
          <w:b w:val="0"/>
          <w:sz w:val="30"/>
          <w:szCs w:val="30"/>
        </w:rPr>
        <w:t>六、</w:t>
      </w:r>
      <w:r>
        <w:rPr>
          <w:rFonts w:ascii="黑体" w:eastAsia="黑体" w:hAnsi="黑体" w:hint="eastAsia"/>
          <w:b w:val="0"/>
          <w:sz w:val="30"/>
          <w:szCs w:val="30"/>
        </w:rPr>
        <w:t>关于</w:t>
      </w:r>
      <w:r>
        <w:rPr>
          <w:rFonts w:ascii="黑体" w:eastAsia="黑体" w:hAnsi="黑体"/>
          <w:b w:val="0"/>
          <w:sz w:val="30"/>
          <w:szCs w:val="30"/>
        </w:rPr>
        <w:t>一般公共预算基本支出情况</w:t>
      </w:r>
      <w:bookmarkEnd w:id="9"/>
      <w:r>
        <w:rPr>
          <w:rFonts w:ascii="黑体" w:eastAsia="黑体" w:hAnsi="黑体" w:hint="eastAsia"/>
          <w:b w:val="0"/>
          <w:sz w:val="30"/>
          <w:szCs w:val="30"/>
        </w:rPr>
        <w:t>表的说明</w:t>
      </w:r>
    </w:p>
    <w:p w14:paraId="30A0C922" w14:textId="77777777" w:rsidR="004F21CF" w:rsidRDefault="00000000">
      <w:pPr>
        <w:spacing w:line="600" w:lineRule="exact"/>
        <w:ind w:firstLineChars="200" w:firstLine="600"/>
        <w:rPr>
          <w:rFonts w:eastAsia="仿宋_GB2312"/>
          <w:sz w:val="30"/>
          <w:szCs w:val="30"/>
        </w:rPr>
      </w:pPr>
      <w:bookmarkStart w:id="10" w:name="_Toc78784577"/>
      <w:r>
        <w:rPr>
          <w:rFonts w:ascii="仿宋_GB2312" w:eastAsia="仿宋_GB2312" w:hint="eastAsia"/>
          <w:sz w:val="30"/>
          <w:szCs w:val="30"/>
        </w:rPr>
        <w:t>天津市河北区计量检定所一般公共预算基本支出1,451,517.00元，与2023年预算相比减少14,785.00元，主要原因是厉行节约，减少开支。其中：</w:t>
      </w:r>
      <w:r>
        <w:rPr>
          <w:rFonts w:ascii="仿宋_GB2312" w:eastAsia="仿宋_GB2312" w:hint="eastAsia"/>
          <w:sz w:val="30"/>
          <w:szCs w:val="30"/>
        </w:rPr>
        <w:br/>
        <w:t xml:space="preserve">　　人员经费1,383,174.00元，主要包括：基本工资、津贴补贴、绩效工资、机关事业单位基本养老保险缴费、职业年金缴费、职工基本医疗保险缴费、其他社会保障缴费、住房公积金、医疗费、其他工资福利支出、退休费、奖励金。</w:t>
      </w:r>
      <w:r>
        <w:rPr>
          <w:rFonts w:ascii="仿宋_GB2312" w:eastAsia="仿宋_GB2312" w:hint="eastAsia"/>
          <w:sz w:val="30"/>
          <w:szCs w:val="30"/>
        </w:rPr>
        <w:br/>
        <w:t xml:space="preserve">　　公用经费68,343.00元，主要包括：物业管理费、工会经费、福利费、其他商品和服务支出。</w:t>
      </w:r>
    </w:p>
    <w:p w14:paraId="2350DAB8" w14:textId="77777777" w:rsidR="004F21CF" w:rsidRDefault="00000000">
      <w:pPr>
        <w:pStyle w:val="2"/>
        <w:spacing w:line="600" w:lineRule="exact"/>
        <w:ind w:firstLineChars="200" w:firstLine="600"/>
        <w:rPr>
          <w:rFonts w:ascii="黑体" w:eastAsia="黑体" w:hAnsi="黑体"/>
          <w:b w:val="0"/>
          <w:sz w:val="30"/>
          <w:szCs w:val="30"/>
        </w:rPr>
      </w:pPr>
      <w:r>
        <w:rPr>
          <w:rFonts w:ascii="黑体" w:eastAsia="黑体" w:hAnsi="黑体" w:hint="eastAsia"/>
          <w:b w:val="0"/>
          <w:sz w:val="30"/>
          <w:szCs w:val="30"/>
        </w:rPr>
        <w:t>七、关于一般公共预算“三公”经费支出情况表的说明</w:t>
      </w:r>
    </w:p>
    <w:p w14:paraId="6FE3959D" w14:textId="77777777" w:rsidR="004F21CF" w:rsidRDefault="00000000">
      <w:pPr>
        <w:spacing w:line="600" w:lineRule="exact"/>
        <w:ind w:firstLineChars="200" w:firstLine="600"/>
        <w:rPr>
          <w:rFonts w:eastAsia="仿宋_GB2312"/>
          <w:sz w:val="30"/>
          <w:szCs w:val="30"/>
        </w:rPr>
      </w:pPr>
      <w:r>
        <w:rPr>
          <w:rFonts w:ascii="仿宋_GB2312" w:eastAsia="仿宋_GB2312" w:hint="eastAsia"/>
          <w:sz w:val="30"/>
          <w:szCs w:val="30"/>
        </w:rPr>
        <w:t>2024年一般公共预算“三公”经费安排0.00元，与2023年预算相比增加（减少）0.00元，主要原因是本部门一般公共预算未安排“三公”经费。具体情况：</w:t>
      </w:r>
      <w:r>
        <w:rPr>
          <w:rFonts w:ascii="仿宋_GB2312" w:eastAsia="仿宋_GB2312" w:hint="eastAsia"/>
          <w:sz w:val="30"/>
          <w:szCs w:val="30"/>
        </w:rPr>
        <w:br/>
      </w:r>
      <w:r>
        <w:rPr>
          <w:rFonts w:ascii="仿宋_GB2312" w:eastAsia="仿宋_GB2312" w:hint="eastAsia"/>
          <w:sz w:val="30"/>
          <w:szCs w:val="30"/>
        </w:rPr>
        <w:lastRenderedPageBreak/>
        <w:t xml:space="preserve">　　一、2024年因公出国（境）费预算0.00元，与2023年预算相比增加（减少）0.00元，主要原因是本部门一般公共预算未安排“因公出国（境）”费。</w:t>
      </w:r>
      <w:r>
        <w:rPr>
          <w:rFonts w:ascii="仿宋_GB2312" w:eastAsia="仿宋_GB2312" w:hint="eastAsia"/>
          <w:sz w:val="30"/>
          <w:szCs w:val="30"/>
        </w:rPr>
        <w:br/>
        <w:t xml:space="preserve">　　二、2024年公务用车购置及运行费预算0.00元，其中公务用车运行费0.00元，与2023年预算相比增加（减少）0.00元，主要原因是本部门一般公共预算未安排“公务用车运行”费；公务用车购置费0.00元，与2023年预算相比增加（减少）0.00元，主要原因是本部门一般公共预算未安排“公务用车购置”费。</w:t>
      </w:r>
      <w:r>
        <w:rPr>
          <w:rFonts w:ascii="仿宋_GB2312" w:eastAsia="仿宋_GB2312" w:hint="eastAsia"/>
          <w:sz w:val="30"/>
          <w:szCs w:val="30"/>
        </w:rPr>
        <w:br/>
        <w:t xml:space="preserve">　　三、2024年公务接待费预算0.00元，与2023年预算相比增加（减少）0.00元，主要原因是本部门一般公共预算未安排“公务接待”费。</w:t>
      </w:r>
    </w:p>
    <w:p w14:paraId="08EFA0E6" w14:textId="77777777" w:rsidR="004F21CF" w:rsidRDefault="00000000">
      <w:pPr>
        <w:pStyle w:val="2"/>
        <w:spacing w:line="600" w:lineRule="exact"/>
        <w:ind w:firstLineChars="200" w:firstLine="600"/>
        <w:rPr>
          <w:rFonts w:ascii="黑体" w:eastAsia="黑体" w:hAnsi="黑体"/>
          <w:b w:val="0"/>
          <w:sz w:val="30"/>
          <w:szCs w:val="30"/>
        </w:rPr>
      </w:pPr>
      <w:r>
        <w:rPr>
          <w:rFonts w:ascii="黑体" w:eastAsia="黑体" w:hAnsi="黑体" w:hint="eastAsia"/>
          <w:b w:val="0"/>
          <w:sz w:val="30"/>
          <w:szCs w:val="30"/>
        </w:rPr>
        <w:t>八</w:t>
      </w:r>
      <w:r>
        <w:rPr>
          <w:rFonts w:ascii="黑体" w:eastAsia="黑体" w:hAnsi="黑体"/>
          <w:b w:val="0"/>
          <w:sz w:val="30"/>
          <w:szCs w:val="30"/>
        </w:rPr>
        <w:t>、</w:t>
      </w:r>
      <w:r>
        <w:rPr>
          <w:rFonts w:ascii="黑体" w:eastAsia="黑体" w:hAnsi="黑体" w:hint="eastAsia"/>
          <w:b w:val="0"/>
          <w:sz w:val="30"/>
          <w:szCs w:val="30"/>
        </w:rPr>
        <w:t>关于</w:t>
      </w:r>
      <w:r>
        <w:rPr>
          <w:rFonts w:ascii="黑体" w:eastAsia="黑体" w:hAnsi="黑体"/>
          <w:b w:val="0"/>
          <w:sz w:val="30"/>
          <w:szCs w:val="30"/>
        </w:rPr>
        <w:t>政府性基金预算</w:t>
      </w:r>
      <w:r>
        <w:rPr>
          <w:rFonts w:ascii="黑体" w:eastAsia="黑体" w:hAnsi="黑体" w:hint="eastAsia"/>
          <w:b w:val="0"/>
          <w:sz w:val="30"/>
          <w:szCs w:val="30"/>
        </w:rPr>
        <w:t>支出</w:t>
      </w:r>
      <w:r>
        <w:rPr>
          <w:rFonts w:ascii="黑体" w:eastAsia="黑体" w:hAnsi="黑体"/>
          <w:b w:val="0"/>
          <w:sz w:val="30"/>
          <w:szCs w:val="30"/>
        </w:rPr>
        <w:t>情况</w:t>
      </w:r>
      <w:bookmarkEnd w:id="10"/>
      <w:r>
        <w:rPr>
          <w:rFonts w:ascii="黑体" w:eastAsia="黑体" w:hAnsi="黑体" w:hint="eastAsia"/>
          <w:b w:val="0"/>
          <w:sz w:val="30"/>
          <w:szCs w:val="30"/>
        </w:rPr>
        <w:t>表的说明</w:t>
      </w:r>
    </w:p>
    <w:p w14:paraId="6BFC4A94" w14:textId="77777777" w:rsidR="004F21CF" w:rsidRDefault="00000000">
      <w:pPr>
        <w:spacing w:line="600" w:lineRule="exact"/>
        <w:ind w:firstLineChars="200" w:firstLine="602"/>
        <w:rPr>
          <w:rFonts w:eastAsia="仿宋_GB2312"/>
          <w:sz w:val="30"/>
          <w:szCs w:val="30"/>
        </w:rPr>
      </w:pPr>
      <w:r>
        <w:rPr>
          <w:rFonts w:ascii="楷体" w:eastAsia="楷体" w:hAnsi="楷体" w:cs="仿宋_GB2312" w:hint="eastAsia"/>
          <w:b/>
          <w:sz w:val="30"/>
          <w:szCs w:val="30"/>
        </w:rPr>
        <w:t xml:space="preserve"> </w:t>
      </w:r>
      <w:r>
        <w:rPr>
          <w:rFonts w:ascii="仿宋_GB2312" w:eastAsia="仿宋_GB2312" w:hint="eastAsia"/>
          <w:sz w:val="30"/>
          <w:szCs w:val="30"/>
        </w:rPr>
        <w:t>2024年天津市河北区计量检定所预算中没有使用政府性基金预算安排的支出。</w:t>
      </w:r>
      <w:r>
        <w:rPr>
          <w:rFonts w:ascii="楷体" w:eastAsia="楷体" w:hAnsi="楷体" w:cs="仿宋_GB2312" w:hint="eastAsia"/>
          <w:b/>
          <w:sz w:val="30"/>
          <w:szCs w:val="30"/>
        </w:rPr>
        <w:t xml:space="preserve"> </w:t>
      </w:r>
      <w:bookmarkStart w:id="11" w:name="_Toc78784578"/>
      <w:r>
        <w:rPr>
          <w:rFonts w:ascii="仿宋_GB2312" w:eastAsia="仿宋_GB2312" w:hint="eastAsia"/>
          <w:sz w:val="30"/>
          <w:szCs w:val="30"/>
        </w:rPr>
        <w:t xml:space="preserve"> </w:t>
      </w:r>
    </w:p>
    <w:p w14:paraId="48C6045B" w14:textId="77777777" w:rsidR="004F21CF" w:rsidRDefault="00000000">
      <w:pPr>
        <w:pStyle w:val="2"/>
        <w:spacing w:line="600" w:lineRule="exact"/>
        <w:ind w:firstLineChars="200" w:firstLine="600"/>
        <w:rPr>
          <w:rFonts w:ascii="黑体" w:eastAsia="黑体" w:hAnsi="黑体"/>
          <w:b w:val="0"/>
          <w:sz w:val="30"/>
          <w:szCs w:val="30"/>
        </w:rPr>
      </w:pPr>
      <w:r>
        <w:rPr>
          <w:rFonts w:ascii="黑体" w:eastAsia="黑体" w:hAnsi="黑体" w:hint="eastAsia"/>
          <w:b w:val="0"/>
          <w:sz w:val="30"/>
          <w:szCs w:val="30"/>
        </w:rPr>
        <w:t>九、关于国有资本经营预算支出情况表</w:t>
      </w:r>
      <w:bookmarkEnd w:id="11"/>
      <w:r>
        <w:rPr>
          <w:rFonts w:ascii="黑体" w:eastAsia="黑体" w:hAnsi="黑体" w:hint="eastAsia"/>
          <w:b w:val="0"/>
          <w:sz w:val="30"/>
          <w:szCs w:val="30"/>
        </w:rPr>
        <w:t>的说明</w:t>
      </w:r>
    </w:p>
    <w:p w14:paraId="6FA1E2CF" w14:textId="77777777" w:rsidR="004F21CF" w:rsidRDefault="00000000">
      <w:pPr>
        <w:spacing w:line="600" w:lineRule="exact"/>
        <w:ind w:firstLineChars="200" w:firstLine="602"/>
      </w:pPr>
      <w:r>
        <w:rPr>
          <w:rFonts w:ascii="楷体" w:eastAsia="楷体" w:hAnsi="楷体" w:cs="仿宋_GB2312" w:hint="eastAsia"/>
          <w:b/>
          <w:sz w:val="30"/>
          <w:szCs w:val="30"/>
        </w:rPr>
        <w:t xml:space="preserve"> </w:t>
      </w:r>
      <w:r>
        <w:rPr>
          <w:rFonts w:ascii="仿宋_GB2312" w:eastAsia="仿宋_GB2312" w:hint="eastAsia"/>
          <w:sz w:val="30"/>
          <w:szCs w:val="30"/>
        </w:rPr>
        <w:t>2024年天津市河北区计量检定所预算中没有使用国有资本经营预算预算安排的支出。</w:t>
      </w:r>
      <w:r>
        <w:rPr>
          <w:rFonts w:ascii="楷体" w:eastAsia="楷体" w:hAnsi="楷体" w:cs="仿宋_GB2312" w:hint="eastAsia"/>
          <w:b/>
          <w:sz w:val="30"/>
          <w:szCs w:val="30"/>
        </w:rPr>
        <w:t xml:space="preserve"> </w:t>
      </w:r>
      <w:r>
        <w:rPr>
          <w:rFonts w:ascii="仿宋_GB2312" w:eastAsia="仿宋_GB2312" w:hint="eastAsia"/>
          <w:sz w:val="30"/>
          <w:szCs w:val="30"/>
        </w:rPr>
        <w:t xml:space="preserve"> </w:t>
      </w:r>
    </w:p>
    <w:p w14:paraId="3087118B" w14:textId="77777777" w:rsidR="004F21CF" w:rsidRDefault="00000000">
      <w:pPr>
        <w:pStyle w:val="2"/>
        <w:spacing w:line="600" w:lineRule="exact"/>
        <w:ind w:firstLineChars="200" w:firstLine="600"/>
        <w:rPr>
          <w:rFonts w:ascii="黑体" w:eastAsia="黑体" w:hAnsi="黑体"/>
          <w:b w:val="0"/>
          <w:sz w:val="30"/>
          <w:szCs w:val="30"/>
        </w:rPr>
      </w:pPr>
      <w:bookmarkStart w:id="12" w:name="_Toc78784579"/>
      <w:r>
        <w:rPr>
          <w:rFonts w:ascii="黑体" w:eastAsia="黑体" w:hAnsi="黑体" w:hint="eastAsia"/>
          <w:b w:val="0"/>
          <w:sz w:val="30"/>
          <w:szCs w:val="30"/>
        </w:rPr>
        <w:t>十、其他重要事项的情况说明</w:t>
      </w:r>
    </w:p>
    <w:p w14:paraId="48B8BC2A" w14:textId="77777777" w:rsidR="004F21CF"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（一）</w:t>
      </w:r>
      <w:r>
        <w:rPr>
          <w:rFonts w:ascii="楷体" w:eastAsia="楷体" w:hAnsi="楷体" w:cs="仿宋_GB2312"/>
          <w:b/>
          <w:sz w:val="30"/>
          <w:szCs w:val="30"/>
        </w:rPr>
        <w:t>机关运行经费</w:t>
      </w:r>
      <w:bookmarkEnd w:id="12"/>
      <w:r>
        <w:rPr>
          <w:rFonts w:ascii="楷体" w:eastAsia="楷体" w:hAnsi="楷体" w:cs="仿宋_GB2312" w:hint="eastAsia"/>
          <w:b/>
          <w:sz w:val="30"/>
          <w:szCs w:val="30"/>
        </w:rPr>
        <w:t>。</w:t>
      </w:r>
    </w:p>
    <w:p w14:paraId="721779B6" w14:textId="77777777" w:rsidR="004F21CF" w:rsidRDefault="00000000">
      <w:pPr>
        <w:spacing w:line="580" w:lineRule="exact"/>
        <w:ind w:firstLineChars="200" w:firstLine="600"/>
        <w:rPr>
          <w:rFonts w:eastAsia="楷体_GB2312"/>
          <w:sz w:val="30"/>
          <w:szCs w:val="30"/>
        </w:rPr>
      </w:pPr>
      <w:r>
        <w:rPr>
          <w:rFonts w:ascii="仿宋_GB2312" w:eastAsia="仿宋_GB2312" w:hAnsi="仿宋_GB2312" w:cs="仿宋_GB2312" w:hint="eastAsia"/>
          <w:sz w:val="30"/>
          <w:szCs w:val="30"/>
        </w:rPr>
        <w:lastRenderedPageBreak/>
        <w:t>天津市河北区计量检定所2024年未安排机关运行经费预算。</w:t>
      </w:r>
    </w:p>
    <w:p w14:paraId="09A52EE3" w14:textId="77777777" w:rsidR="004F21CF"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（二）政府采购情况。</w:t>
      </w:r>
    </w:p>
    <w:p w14:paraId="21046002" w14:textId="77777777" w:rsidR="004F21CF" w:rsidRDefault="00000000">
      <w:pPr>
        <w:spacing w:line="580" w:lineRule="exact"/>
        <w:ind w:firstLineChars="200" w:firstLine="600"/>
        <w:rPr>
          <w:rFonts w:eastAsia="楷体_GB2312"/>
          <w:sz w:val="30"/>
          <w:szCs w:val="30"/>
        </w:rPr>
      </w:pPr>
      <w:r>
        <w:rPr>
          <w:rFonts w:ascii="仿宋_GB2312" w:eastAsia="仿宋_GB2312" w:hAnsi="仿宋_GB2312" w:cs="仿宋_GB2312" w:hint="eastAsia"/>
          <w:sz w:val="30"/>
          <w:szCs w:val="30"/>
        </w:rPr>
        <w:t>天津市河北区计量检定所2024年未安排政府采购预算。</w:t>
      </w:r>
    </w:p>
    <w:p w14:paraId="3FE3E047" w14:textId="77777777" w:rsidR="004F21CF"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（三）国有资产占用情况。</w:t>
      </w:r>
    </w:p>
    <w:p w14:paraId="241FDC6F" w14:textId="77777777" w:rsidR="004F21CF" w:rsidRDefault="00000000">
      <w:pPr>
        <w:spacing w:line="580" w:lineRule="exact"/>
        <w:ind w:firstLineChars="200" w:firstLine="600"/>
        <w:jc w:val="both"/>
        <w:rPr>
          <w:rFonts w:eastAsia="仿宋_GB2312"/>
          <w:sz w:val="30"/>
          <w:szCs w:val="30"/>
        </w:rPr>
      </w:pPr>
      <w:r>
        <w:rPr>
          <w:rFonts w:ascii="仿宋_GB2312" w:eastAsia="仿宋_GB2312" w:hAnsi="仿宋_GB2312" w:cs="仿宋_GB2312" w:hint="eastAsia"/>
          <w:color w:val="000000"/>
          <w:sz w:val="30"/>
          <w:szCs w:val="30"/>
        </w:rPr>
        <w:t>截至2023年7月底，本部门各单位共有车辆0辆，其中：副部（省）级及以上领导用车0辆、主要负责人干部用车0辆、机要通信用车0辆、应急保障用车0辆、执法执勤用车0辆、特种专业技术用车0辆、离退休干部服务用车0辆、其他用车0辆，其他用车主要包括无。单价（账面原值）100万元以上的设备0台（套）。</w:t>
      </w:r>
    </w:p>
    <w:p w14:paraId="75586397" w14:textId="77777777" w:rsidR="004F21CF"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（四）预算绩效情况说明。</w:t>
      </w:r>
    </w:p>
    <w:p w14:paraId="5AF18CD1" w14:textId="77777777" w:rsidR="004F21CF" w:rsidRDefault="00000000">
      <w:pPr>
        <w:spacing w:line="580" w:lineRule="exact"/>
        <w:ind w:firstLineChars="200" w:firstLine="600"/>
        <w:jc w:val="both"/>
        <w:rPr>
          <w:rFonts w:ascii="仿宋_GB2312" w:eastAsia="仿宋_GB2312" w:hAnsi="仿宋_GB2312" w:cs="仿宋_GB2312"/>
          <w:sz w:val="30"/>
          <w:szCs w:val="30"/>
        </w:rPr>
        <w:sectPr w:rsidR="004F21CF" w:rsidSect="00470D1F">
          <w:pgSz w:w="11907" w:h="16840"/>
          <w:pgMar w:top="2098" w:right="1474" w:bottom="1304" w:left="1588" w:header="765" w:footer="765" w:gutter="0"/>
          <w:pgNumType w:fmt="numberInDash" w:start="1"/>
          <w:cols w:space="720"/>
          <w:docGrid w:linePitch="326"/>
        </w:sectPr>
      </w:pPr>
      <w:r>
        <w:rPr>
          <w:rFonts w:ascii="仿宋_GB2312" w:eastAsia="仿宋_GB2312" w:hAnsi="仿宋_GB2312" w:cs="仿宋_GB2312" w:hint="eastAsia"/>
          <w:sz w:val="30"/>
          <w:szCs w:val="30"/>
        </w:rPr>
        <w:t>本部门2024年实行绩效目标管理的项目1个，涉及预算金额14,175.00元。</w:t>
      </w:r>
    </w:p>
    <w:p w14:paraId="7FB41C97" w14:textId="77777777" w:rsidR="004F21CF" w:rsidRDefault="004F21CF">
      <w:pPr>
        <w:spacing w:line="580" w:lineRule="exact"/>
        <w:jc w:val="both"/>
        <w:rPr>
          <w:rFonts w:ascii="仿宋_GB2312" w:eastAsia="仿宋_GB2312" w:hAnsi="仿宋_GB2312" w:cs="仿宋_GB2312"/>
          <w:sz w:val="30"/>
          <w:szCs w:val="30"/>
        </w:rPr>
      </w:pPr>
    </w:p>
    <w:p w14:paraId="3BB9D7EC" w14:textId="77777777" w:rsidR="004F21CF" w:rsidRDefault="00000000">
      <w:pPr>
        <w:pStyle w:val="1"/>
        <w:spacing w:line="600" w:lineRule="exact"/>
        <w:jc w:val="center"/>
        <w:rPr>
          <w:rFonts w:ascii="黑体" w:eastAsia="黑体" w:hAnsi="黑体" w:cs="黑体"/>
        </w:rPr>
      </w:pPr>
      <w:bookmarkStart w:id="13" w:name="_Toc78784585"/>
      <w:r>
        <w:rPr>
          <w:rFonts w:ascii="黑体" w:eastAsia="黑体" w:hAnsi="黑体" w:cs="黑体" w:hint="eastAsia"/>
        </w:rPr>
        <w:t>第三部分  名词解释</w:t>
      </w:r>
      <w:bookmarkEnd w:id="13"/>
    </w:p>
    <w:p w14:paraId="639D575E" w14:textId="77777777" w:rsidR="004F21CF" w:rsidRDefault="004F21CF">
      <w:pPr>
        <w:spacing w:line="600" w:lineRule="exact"/>
        <w:ind w:firstLineChars="200" w:firstLine="600"/>
        <w:rPr>
          <w:rFonts w:ascii="仿宋_GB2312" w:eastAsia="仿宋_GB2312"/>
          <w:sz w:val="30"/>
          <w:szCs w:val="30"/>
        </w:rPr>
      </w:pPr>
    </w:p>
    <w:p w14:paraId="262D9ACD" w14:textId="77777777" w:rsidR="004F21CF" w:rsidRDefault="00000000">
      <w:pPr>
        <w:spacing w:line="580" w:lineRule="exact"/>
        <w:ind w:firstLineChars="200" w:firstLine="600"/>
        <w:rPr>
          <w:rFonts w:eastAsia="仿宋_GB2312"/>
          <w:sz w:val="30"/>
          <w:szCs w:val="30"/>
        </w:rPr>
      </w:pPr>
      <w:r>
        <w:rPr>
          <w:rFonts w:eastAsia="仿宋_GB2312"/>
          <w:sz w:val="30"/>
          <w:szCs w:val="30"/>
        </w:rPr>
        <w:t>1.</w:t>
      </w:r>
      <w:r>
        <w:rPr>
          <w:rFonts w:eastAsia="仿宋_GB2312" w:hint="eastAsia"/>
          <w:sz w:val="30"/>
          <w:szCs w:val="30"/>
        </w:rPr>
        <w:t>部门预算。是指主管预算部门依据相关法律、法规和政策规定及其行使职能需要，组织所属预算单位编制并逐级上报、审核、汇总，经财政部门审核后按程序依法批准的部门综合收支计划。</w:t>
      </w:r>
    </w:p>
    <w:p w14:paraId="3E98624B" w14:textId="77777777" w:rsidR="004F21CF" w:rsidRDefault="00000000">
      <w:pPr>
        <w:spacing w:line="580" w:lineRule="exact"/>
        <w:ind w:firstLineChars="200" w:firstLine="600"/>
        <w:rPr>
          <w:rFonts w:eastAsia="仿宋_GB2312"/>
          <w:sz w:val="30"/>
          <w:szCs w:val="30"/>
        </w:rPr>
      </w:pPr>
      <w:r>
        <w:rPr>
          <w:rFonts w:eastAsia="仿宋_GB2312" w:hint="eastAsia"/>
          <w:sz w:val="30"/>
          <w:szCs w:val="30"/>
        </w:rPr>
        <w:t>2.</w:t>
      </w:r>
      <w:r>
        <w:rPr>
          <w:rFonts w:eastAsia="仿宋_GB2312"/>
          <w:sz w:val="30"/>
          <w:szCs w:val="30"/>
        </w:rPr>
        <w:t xml:space="preserve"> </w:t>
      </w:r>
      <w:r>
        <w:rPr>
          <w:rFonts w:eastAsia="仿宋_GB2312"/>
          <w:sz w:val="30"/>
          <w:szCs w:val="30"/>
        </w:rPr>
        <w:t>机关运行经费</w:t>
      </w:r>
      <w:r>
        <w:rPr>
          <w:rFonts w:eastAsia="仿宋_GB2312" w:hint="eastAsia"/>
          <w:sz w:val="30"/>
          <w:szCs w:val="30"/>
        </w:rPr>
        <w:t>。</w:t>
      </w:r>
      <w:r>
        <w:rPr>
          <w:rFonts w:eastAsia="仿宋_GB2312"/>
          <w:sz w:val="30"/>
          <w:szCs w:val="30"/>
        </w:rPr>
        <w:t>是指各部门的公用经费，包括办公及印刷费、邮电费、差旅费、会议费、福利费、日常维修费、专用材料及一般设备购置费、办公用房水电费、办公用房取暖费、办公用房物业管理费、公务用车运行维护费以及其他费用</w:t>
      </w:r>
      <w:r>
        <w:rPr>
          <w:rFonts w:eastAsia="仿宋_GB2312" w:hint="eastAsia"/>
          <w:sz w:val="30"/>
          <w:szCs w:val="30"/>
        </w:rPr>
        <w:t>。</w:t>
      </w:r>
    </w:p>
    <w:p w14:paraId="76FFBD72" w14:textId="77777777" w:rsidR="004F21CF" w:rsidRDefault="00000000">
      <w:pPr>
        <w:spacing w:line="580" w:lineRule="exact"/>
        <w:ind w:firstLineChars="200" w:firstLine="600"/>
        <w:rPr>
          <w:rFonts w:eastAsia="楷体_GB2312"/>
          <w:sz w:val="30"/>
          <w:szCs w:val="30"/>
        </w:rPr>
      </w:pPr>
      <w:r>
        <w:rPr>
          <w:rFonts w:eastAsia="楷体_GB2312" w:hint="eastAsia"/>
          <w:sz w:val="30"/>
          <w:szCs w:val="30"/>
        </w:rPr>
        <w:t>（“部门预算”和“机关运行经费”作为专业性名词各单位必须公开。除此之外，</w:t>
      </w:r>
      <w:r>
        <w:rPr>
          <w:rFonts w:eastAsia="楷体_GB2312"/>
          <w:sz w:val="30"/>
          <w:szCs w:val="30"/>
        </w:rPr>
        <w:t>各单位可</w:t>
      </w:r>
      <w:r>
        <w:rPr>
          <w:rFonts w:eastAsia="楷体_GB2312" w:hint="eastAsia"/>
          <w:sz w:val="30"/>
          <w:szCs w:val="30"/>
        </w:rPr>
        <w:t>根据需要对说明中其他专业性较强名词</w:t>
      </w:r>
      <w:r>
        <w:rPr>
          <w:rFonts w:eastAsia="楷体_GB2312"/>
          <w:sz w:val="30"/>
          <w:szCs w:val="30"/>
        </w:rPr>
        <w:t>进行解释</w:t>
      </w:r>
      <w:r>
        <w:rPr>
          <w:rFonts w:eastAsia="楷体_GB2312" w:hint="eastAsia"/>
          <w:sz w:val="30"/>
          <w:szCs w:val="30"/>
        </w:rPr>
        <w:t>。</w:t>
      </w:r>
      <w:r>
        <w:rPr>
          <w:rFonts w:eastAsia="楷体_GB2312"/>
          <w:sz w:val="30"/>
          <w:szCs w:val="30"/>
        </w:rPr>
        <w:t>）</w:t>
      </w:r>
    </w:p>
    <w:p w14:paraId="4C13B553" w14:textId="77777777" w:rsidR="004F21CF" w:rsidRDefault="004F21CF">
      <w:pPr>
        <w:spacing w:line="580" w:lineRule="exact"/>
        <w:ind w:firstLineChars="200" w:firstLine="600"/>
        <w:rPr>
          <w:rFonts w:eastAsia="楷体_GB2312"/>
          <w:sz w:val="30"/>
          <w:szCs w:val="30"/>
        </w:rPr>
      </w:pPr>
    </w:p>
    <w:p w14:paraId="2B20152F" w14:textId="77777777" w:rsidR="004F21CF" w:rsidRDefault="004F21CF">
      <w:pPr>
        <w:spacing w:line="580" w:lineRule="exact"/>
        <w:ind w:firstLineChars="200" w:firstLine="600"/>
        <w:rPr>
          <w:rFonts w:eastAsia="楷体_GB2312"/>
          <w:sz w:val="30"/>
          <w:szCs w:val="30"/>
        </w:rPr>
      </w:pPr>
    </w:p>
    <w:p w14:paraId="08D9725C" w14:textId="77777777" w:rsidR="004F21CF" w:rsidRDefault="004F21CF">
      <w:pPr>
        <w:spacing w:line="580" w:lineRule="exact"/>
        <w:ind w:firstLineChars="200" w:firstLine="600"/>
        <w:rPr>
          <w:rFonts w:eastAsia="楷体_GB2312"/>
          <w:sz w:val="30"/>
          <w:szCs w:val="30"/>
        </w:rPr>
      </w:pPr>
    </w:p>
    <w:p w14:paraId="1904F570" w14:textId="77777777" w:rsidR="004F21CF" w:rsidRDefault="004F21CF">
      <w:pPr>
        <w:spacing w:line="580" w:lineRule="exact"/>
        <w:ind w:firstLineChars="200" w:firstLine="600"/>
        <w:rPr>
          <w:rFonts w:eastAsia="楷体_GB2312"/>
          <w:sz w:val="30"/>
          <w:szCs w:val="30"/>
        </w:rPr>
      </w:pPr>
    </w:p>
    <w:p w14:paraId="6E487E23" w14:textId="77777777" w:rsidR="004F21CF" w:rsidRDefault="004F21CF">
      <w:pPr>
        <w:spacing w:line="580" w:lineRule="exact"/>
        <w:ind w:firstLineChars="200" w:firstLine="600"/>
        <w:rPr>
          <w:rFonts w:eastAsia="楷体_GB2312"/>
          <w:sz w:val="30"/>
          <w:szCs w:val="30"/>
        </w:rPr>
      </w:pPr>
    </w:p>
    <w:p w14:paraId="6E1BE43F" w14:textId="77777777" w:rsidR="004F21CF" w:rsidRDefault="004F21CF">
      <w:pPr>
        <w:spacing w:line="580" w:lineRule="exact"/>
        <w:ind w:firstLineChars="200" w:firstLine="600"/>
        <w:rPr>
          <w:rFonts w:eastAsia="楷体_GB2312"/>
          <w:sz w:val="30"/>
          <w:szCs w:val="30"/>
        </w:rPr>
      </w:pPr>
    </w:p>
    <w:p w14:paraId="3F103581" w14:textId="77777777" w:rsidR="004F21CF" w:rsidRDefault="004F21CF">
      <w:pPr>
        <w:spacing w:line="580" w:lineRule="exact"/>
        <w:ind w:firstLineChars="200" w:firstLine="600"/>
        <w:rPr>
          <w:rFonts w:eastAsia="楷体_GB2312"/>
          <w:sz w:val="30"/>
          <w:szCs w:val="30"/>
        </w:rPr>
      </w:pPr>
    </w:p>
    <w:p w14:paraId="6BE17000" w14:textId="77777777" w:rsidR="004F21CF" w:rsidRDefault="004F21CF">
      <w:pPr>
        <w:spacing w:line="580" w:lineRule="exact"/>
        <w:ind w:firstLineChars="200" w:firstLine="600"/>
        <w:rPr>
          <w:rFonts w:eastAsia="楷体_GB2312"/>
          <w:sz w:val="30"/>
          <w:szCs w:val="30"/>
        </w:rPr>
      </w:pPr>
    </w:p>
    <w:p w14:paraId="42929D8C" w14:textId="77777777" w:rsidR="004F21CF" w:rsidRDefault="00000000">
      <w:pPr>
        <w:pStyle w:val="1"/>
        <w:spacing w:line="600" w:lineRule="exact"/>
        <w:jc w:val="center"/>
        <w:rPr>
          <w:rFonts w:ascii="黑体" w:eastAsia="黑体" w:hAnsi="黑体" w:cs="黑体"/>
        </w:rPr>
      </w:pPr>
      <w:r>
        <w:rPr>
          <w:rFonts w:ascii="黑体" w:eastAsia="黑体" w:hAnsi="黑体" w:cs="黑体" w:hint="eastAsia"/>
        </w:rPr>
        <w:lastRenderedPageBreak/>
        <w:t>第四部分  2024年部门预算表</w:t>
      </w:r>
    </w:p>
    <w:p w14:paraId="0DB2CCEB" w14:textId="77777777" w:rsidR="004F21CF"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一、《部门收支总体情况表》</w:t>
      </w:r>
    </w:p>
    <w:p w14:paraId="1F6C0AAC" w14:textId="77777777" w:rsidR="004F21CF"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二、《部门收入总体情况表》</w:t>
      </w:r>
    </w:p>
    <w:p w14:paraId="0EE21DE9" w14:textId="77777777" w:rsidR="004F21CF"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三、《部门支出总体情况表》</w:t>
      </w:r>
    </w:p>
    <w:p w14:paraId="13A23AAE" w14:textId="77777777" w:rsidR="004F21CF"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四、《财政拨款收支总体情况表》</w:t>
      </w:r>
    </w:p>
    <w:p w14:paraId="51B1E02E" w14:textId="77777777" w:rsidR="004F21CF"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五、《一般公共预算支出情况表》</w:t>
      </w:r>
    </w:p>
    <w:p w14:paraId="2FF21CAE" w14:textId="77777777" w:rsidR="004F21CF"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六、《一般公共预算基本支出情况表》</w:t>
      </w:r>
    </w:p>
    <w:p w14:paraId="7642FC20" w14:textId="77777777" w:rsidR="004F21CF"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七、《一般公共预算“三公”经费支出情况表》</w:t>
      </w:r>
    </w:p>
    <w:p w14:paraId="02CF4B51" w14:textId="77777777" w:rsidR="004F21CF"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八、《政府性基金预算支出情况表》</w:t>
      </w:r>
    </w:p>
    <w:p w14:paraId="65892748" w14:textId="77777777" w:rsidR="004F21CF"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九、《国有资本经营预算支出情况表》</w:t>
      </w:r>
    </w:p>
    <w:p w14:paraId="59B4F296" w14:textId="77777777" w:rsidR="004F21CF"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十、《项目支出表》</w:t>
      </w:r>
    </w:p>
    <w:p w14:paraId="0DCB57E3" w14:textId="77777777" w:rsidR="004F21CF"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十一、关于空表的说明</w:t>
      </w:r>
      <w:r>
        <w:rPr>
          <w:rFonts w:ascii="楷体_GB2312" w:eastAsia="楷体_GB2312" w:hint="eastAsia"/>
          <w:b/>
          <w:sz w:val="30"/>
          <w:szCs w:val="30"/>
        </w:rPr>
        <w:tab/>
      </w:r>
    </w:p>
    <w:p w14:paraId="4CF74873" w14:textId="46D40999" w:rsidR="004F21CF" w:rsidRDefault="00000000">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1.“本</w:t>
      </w:r>
      <w:r w:rsidR="00A72E46" w:rsidRPr="00A72E46">
        <w:rPr>
          <w:rFonts w:ascii="仿宋_GB2312" w:eastAsia="仿宋_GB2312" w:hAnsi="仿宋_GB2312" w:cs="仿宋_GB2312" w:hint="eastAsia"/>
          <w:sz w:val="30"/>
          <w:szCs w:val="30"/>
        </w:rPr>
        <w:t>单位（部门）</w:t>
      </w:r>
      <w:r>
        <w:rPr>
          <w:rFonts w:ascii="仿宋_GB2312" w:eastAsia="仿宋_GB2312" w:hAnsi="仿宋_GB2312" w:cs="仿宋_GB2312" w:hint="eastAsia"/>
          <w:sz w:val="30"/>
          <w:szCs w:val="30"/>
        </w:rPr>
        <w:t>2024年一般公共预算“三公”经费支出情况表为空表”。</w:t>
      </w:r>
      <w:r>
        <w:rPr>
          <w:rFonts w:ascii="仿宋_GB2312" w:eastAsia="仿宋_GB2312" w:hAnsi="仿宋_GB2312" w:cs="仿宋_GB2312" w:hint="eastAsia"/>
          <w:sz w:val="30"/>
          <w:szCs w:val="30"/>
        </w:rPr>
        <w:br/>
        <w:t xml:space="preserve">　　2.“本</w:t>
      </w:r>
      <w:r w:rsidR="00A72E46" w:rsidRPr="00A72E46">
        <w:rPr>
          <w:rFonts w:ascii="仿宋_GB2312" w:eastAsia="仿宋_GB2312" w:hAnsi="仿宋_GB2312" w:cs="仿宋_GB2312" w:hint="eastAsia"/>
          <w:sz w:val="30"/>
          <w:szCs w:val="30"/>
        </w:rPr>
        <w:t>单位（部门）</w:t>
      </w:r>
      <w:r>
        <w:rPr>
          <w:rFonts w:ascii="仿宋_GB2312" w:eastAsia="仿宋_GB2312" w:hAnsi="仿宋_GB2312" w:cs="仿宋_GB2312" w:hint="eastAsia"/>
          <w:sz w:val="30"/>
          <w:szCs w:val="30"/>
        </w:rPr>
        <w:t>2024年政府性基金预算支出情况表为空表”。</w:t>
      </w:r>
      <w:r>
        <w:rPr>
          <w:rFonts w:ascii="仿宋_GB2312" w:eastAsia="仿宋_GB2312" w:hAnsi="仿宋_GB2312" w:cs="仿宋_GB2312" w:hint="eastAsia"/>
          <w:sz w:val="30"/>
          <w:szCs w:val="30"/>
        </w:rPr>
        <w:br/>
        <w:t xml:space="preserve">　　3.“本</w:t>
      </w:r>
      <w:r w:rsidR="00A72E46" w:rsidRPr="00A72E46">
        <w:rPr>
          <w:rFonts w:ascii="仿宋_GB2312" w:eastAsia="仿宋_GB2312" w:hAnsi="仿宋_GB2312" w:cs="仿宋_GB2312" w:hint="eastAsia"/>
          <w:sz w:val="30"/>
          <w:szCs w:val="30"/>
        </w:rPr>
        <w:t>单位（部门）</w:t>
      </w:r>
      <w:r>
        <w:rPr>
          <w:rFonts w:ascii="仿宋_GB2312" w:eastAsia="仿宋_GB2312" w:hAnsi="仿宋_GB2312" w:cs="仿宋_GB2312" w:hint="eastAsia"/>
          <w:sz w:val="30"/>
          <w:szCs w:val="30"/>
        </w:rPr>
        <w:t>2024年国有资本经营预算支出情况表为空表”。</w:t>
      </w:r>
    </w:p>
    <w:p w14:paraId="45A34B54" w14:textId="77777777" w:rsidR="004F21CF" w:rsidRDefault="004F21CF">
      <w:pPr>
        <w:spacing w:line="560" w:lineRule="exact"/>
        <w:rPr>
          <w:rFonts w:eastAsia="楷体"/>
          <w:sz w:val="30"/>
          <w:szCs w:val="30"/>
        </w:rPr>
      </w:pPr>
    </w:p>
    <w:p w14:paraId="248DB068" w14:textId="77777777" w:rsidR="004F21CF" w:rsidRDefault="00000000">
      <w:pPr>
        <w:spacing w:line="560" w:lineRule="exact"/>
        <w:ind w:firstLineChars="200" w:firstLine="600"/>
        <w:rPr>
          <w:rFonts w:eastAsia="楷体_GB2312"/>
          <w:sz w:val="30"/>
          <w:szCs w:val="30"/>
        </w:rPr>
      </w:pPr>
      <w:r>
        <w:rPr>
          <w:rFonts w:eastAsia="楷体" w:hint="eastAsia"/>
          <w:sz w:val="30"/>
          <w:szCs w:val="30"/>
        </w:rPr>
        <w:t>注：以上预算公开表均作为附表，附于预算公开说明文档后。</w:t>
      </w:r>
    </w:p>
    <w:sectPr w:rsidR="004F21CF">
      <w:pgSz w:w="11907" w:h="16840"/>
      <w:pgMar w:top="2098" w:right="1474" w:bottom="1304" w:left="1588" w:header="765" w:footer="765" w:gutter="0"/>
      <w:pgNumType w:fmt="numberInDash"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C328B" w14:textId="77777777" w:rsidR="00470D1F" w:rsidRDefault="00470D1F">
      <w:pPr>
        <w:spacing w:line="240" w:lineRule="auto"/>
      </w:pPr>
      <w:r>
        <w:separator/>
      </w:r>
    </w:p>
  </w:endnote>
  <w:endnote w:type="continuationSeparator" w:id="0">
    <w:p w14:paraId="565B8C53" w14:textId="77777777" w:rsidR="00470D1F" w:rsidRDefault="00470D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00" w:usb3="00000000" w:csb0="00040000"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8D487" w14:textId="77777777" w:rsidR="004F21CF" w:rsidRDefault="00000000">
    <w:pPr>
      <w:pStyle w:val="a6"/>
      <w:framePr w:wrap="around" w:vAnchor="text" w:hAnchor="margin" w:xAlign="outside" w:y="1"/>
      <w:rPr>
        <w:rStyle w:val="a9"/>
      </w:rPr>
    </w:pPr>
    <w:r>
      <w:fldChar w:fldCharType="begin"/>
    </w:r>
    <w:r>
      <w:rPr>
        <w:rStyle w:val="a9"/>
      </w:rPr>
      <w:instrText xml:space="preserve">PAGE  </w:instrText>
    </w:r>
    <w:r>
      <w:fldChar w:fldCharType="separate"/>
    </w:r>
    <w:r>
      <w:fldChar w:fldCharType="end"/>
    </w:r>
  </w:p>
  <w:p w14:paraId="18AE3DE6" w14:textId="77777777" w:rsidR="004F21CF" w:rsidRDefault="004F21CF">
    <w:pPr>
      <w:pStyle w:val="a6"/>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4650" w14:textId="77777777" w:rsidR="004F21CF" w:rsidRDefault="004F21CF">
    <w:pPr>
      <w:pStyle w:val="a6"/>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C055C" w14:textId="77777777" w:rsidR="004F21CF" w:rsidRDefault="00000000">
    <w:pPr>
      <w:pStyle w:val="a6"/>
      <w:jc w:val="center"/>
    </w:pPr>
    <w:r>
      <w:fldChar w:fldCharType="begin"/>
    </w:r>
    <w:r>
      <w:instrText>PAGE   \* MERGEFORMAT</w:instrText>
    </w:r>
    <w:r>
      <w:fldChar w:fldCharType="separate"/>
    </w:r>
    <w:r>
      <w:rPr>
        <w:lang w:val="zh-CN"/>
      </w:rPr>
      <w:t>-</w:t>
    </w:r>
    <w:r>
      <w:t xml:space="preserve"> 5 -</w:t>
    </w:r>
    <w:r>
      <w:fldChar w:fldCharType="end"/>
    </w:r>
  </w:p>
  <w:p w14:paraId="00067BE8" w14:textId="77777777" w:rsidR="004F21CF" w:rsidRDefault="004F21CF">
    <w:pPr>
      <w:pStyle w:val="a6"/>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F4925" w14:textId="77777777" w:rsidR="00470D1F" w:rsidRDefault="00470D1F">
      <w:pPr>
        <w:spacing w:line="240" w:lineRule="auto"/>
      </w:pPr>
      <w:r>
        <w:separator/>
      </w:r>
    </w:p>
  </w:footnote>
  <w:footnote w:type="continuationSeparator" w:id="0">
    <w:p w14:paraId="168AD8CE" w14:textId="77777777" w:rsidR="00470D1F" w:rsidRDefault="00470D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B72AE" w14:textId="77777777" w:rsidR="004F21CF" w:rsidRDefault="004F21CF">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A1YjE1OTI0ZjFiOGFhMWM4MWNjMzdkNjI3N2RmY2MifQ=="/>
  </w:docVars>
  <w:rsids>
    <w:rsidRoot w:val="00937D77"/>
    <w:rsid w:val="DEFFAB64"/>
    <w:rsid w:val="F51C3534"/>
    <w:rsid w:val="0001204D"/>
    <w:rsid w:val="00014B7E"/>
    <w:rsid w:val="00020DAE"/>
    <w:rsid w:val="00025DCF"/>
    <w:rsid w:val="00026B49"/>
    <w:rsid w:val="000279BC"/>
    <w:rsid w:val="00035889"/>
    <w:rsid w:val="0003736F"/>
    <w:rsid w:val="00040A70"/>
    <w:rsid w:val="000546FB"/>
    <w:rsid w:val="00055156"/>
    <w:rsid w:val="000561F0"/>
    <w:rsid w:val="00066DA5"/>
    <w:rsid w:val="00081133"/>
    <w:rsid w:val="00082771"/>
    <w:rsid w:val="00093F1A"/>
    <w:rsid w:val="00097C4D"/>
    <w:rsid w:val="000A4C45"/>
    <w:rsid w:val="000A6A5A"/>
    <w:rsid w:val="000B1B04"/>
    <w:rsid w:val="000B5758"/>
    <w:rsid w:val="000C211F"/>
    <w:rsid w:val="000C3FFB"/>
    <w:rsid w:val="000C5349"/>
    <w:rsid w:val="000C704F"/>
    <w:rsid w:val="000D1BEF"/>
    <w:rsid w:val="000E221E"/>
    <w:rsid w:val="000E5A14"/>
    <w:rsid w:val="000F2DDD"/>
    <w:rsid w:val="00103D12"/>
    <w:rsid w:val="001044EF"/>
    <w:rsid w:val="00107793"/>
    <w:rsid w:val="00107F74"/>
    <w:rsid w:val="00141FB3"/>
    <w:rsid w:val="00143640"/>
    <w:rsid w:val="00146622"/>
    <w:rsid w:val="00151DB8"/>
    <w:rsid w:val="00151E56"/>
    <w:rsid w:val="00154D50"/>
    <w:rsid w:val="001574DB"/>
    <w:rsid w:val="001616F8"/>
    <w:rsid w:val="001639E6"/>
    <w:rsid w:val="0016548E"/>
    <w:rsid w:val="00167781"/>
    <w:rsid w:val="0017420B"/>
    <w:rsid w:val="001743A6"/>
    <w:rsid w:val="0019552B"/>
    <w:rsid w:val="001A1316"/>
    <w:rsid w:val="001A58F7"/>
    <w:rsid w:val="001B47FB"/>
    <w:rsid w:val="001C525C"/>
    <w:rsid w:val="001E4814"/>
    <w:rsid w:val="001F43D8"/>
    <w:rsid w:val="001F69BB"/>
    <w:rsid w:val="0020344E"/>
    <w:rsid w:val="00217977"/>
    <w:rsid w:val="00222775"/>
    <w:rsid w:val="00223D56"/>
    <w:rsid w:val="00225E9E"/>
    <w:rsid w:val="002319C9"/>
    <w:rsid w:val="00235DDA"/>
    <w:rsid w:val="002456BF"/>
    <w:rsid w:val="00252DD7"/>
    <w:rsid w:val="002568D5"/>
    <w:rsid w:val="0026664B"/>
    <w:rsid w:val="00290082"/>
    <w:rsid w:val="00290EAC"/>
    <w:rsid w:val="00293ACA"/>
    <w:rsid w:val="002A1782"/>
    <w:rsid w:val="002A23DC"/>
    <w:rsid w:val="002A3DBF"/>
    <w:rsid w:val="002D67AE"/>
    <w:rsid w:val="002D715E"/>
    <w:rsid w:val="002E3C02"/>
    <w:rsid w:val="002F0601"/>
    <w:rsid w:val="002F0F40"/>
    <w:rsid w:val="002F0F49"/>
    <w:rsid w:val="00304097"/>
    <w:rsid w:val="003147A8"/>
    <w:rsid w:val="0032641E"/>
    <w:rsid w:val="003407F4"/>
    <w:rsid w:val="00343F3E"/>
    <w:rsid w:val="0035053A"/>
    <w:rsid w:val="0035182A"/>
    <w:rsid w:val="003609DB"/>
    <w:rsid w:val="00361453"/>
    <w:rsid w:val="00364050"/>
    <w:rsid w:val="00364294"/>
    <w:rsid w:val="003734E1"/>
    <w:rsid w:val="00381526"/>
    <w:rsid w:val="00386D08"/>
    <w:rsid w:val="00391275"/>
    <w:rsid w:val="003929CE"/>
    <w:rsid w:val="003A5370"/>
    <w:rsid w:val="003A7D0E"/>
    <w:rsid w:val="003B24BB"/>
    <w:rsid w:val="003B3A66"/>
    <w:rsid w:val="003C1B4D"/>
    <w:rsid w:val="003C2CCF"/>
    <w:rsid w:val="003D48A4"/>
    <w:rsid w:val="003D647A"/>
    <w:rsid w:val="003E3EA7"/>
    <w:rsid w:val="003F4CDB"/>
    <w:rsid w:val="00404E18"/>
    <w:rsid w:val="00406A09"/>
    <w:rsid w:val="004139C1"/>
    <w:rsid w:val="004178F1"/>
    <w:rsid w:val="00421C5C"/>
    <w:rsid w:val="00424A5A"/>
    <w:rsid w:val="00452C1F"/>
    <w:rsid w:val="004645C1"/>
    <w:rsid w:val="004654FD"/>
    <w:rsid w:val="004660E2"/>
    <w:rsid w:val="0046727B"/>
    <w:rsid w:val="0047004A"/>
    <w:rsid w:val="00470D1F"/>
    <w:rsid w:val="00472621"/>
    <w:rsid w:val="00474C09"/>
    <w:rsid w:val="0048352E"/>
    <w:rsid w:val="004A5DF5"/>
    <w:rsid w:val="004A6EE3"/>
    <w:rsid w:val="004B0888"/>
    <w:rsid w:val="004C0EED"/>
    <w:rsid w:val="004C1F92"/>
    <w:rsid w:val="004D2A21"/>
    <w:rsid w:val="004E5901"/>
    <w:rsid w:val="004E7F96"/>
    <w:rsid w:val="004F1D8F"/>
    <w:rsid w:val="004F21CF"/>
    <w:rsid w:val="004F304B"/>
    <w:rsid w:val="00507FC2"/>
    <w:rsid w:val="00513E0C"/>
    <w:rsid w:val="00531F24"/>
    <w:rsid w:val="00534FC8"/>
    <w:rsid w:val="005442FD"/>
    <w:rsid w:val="00547CCA"/>
    <w:rsid w:val="0055334A"/>
    <w:rsid w:val="0056218D"/>
    <w:rsid w:val="00563DE0"/>
    <w:rsid w:val="00566B36"/>
    <w:rsid w:val="005717FD"/>
    <w:rsid w:val="00577762"/>
    <w:rsid w:val="00585D27"/>
    <w:rsid w:val="0058731A"/>
    <w:rsid w:val="00587691"/>
    <w:rsid w:val="0059010F"/>
    <w:rsid w:val="0059248B"/>
    <w:rsid w:val="005B0F7B"/>
    <w:rsid w:val="005B3956"/>
    <w:rsid w:val="005B5E4D"/>
    <w:rsid w:val="005C0A1F"/>
    <w:rsid w:val="005C3C59"/>
    <w:rsid w:val="005D0C85"/>
    <w:rsid w:val="005D5F3F"/>
    <w:rsid w:val="005E595A"/>
    <w:rsid w:val="005E5D2D"/>
    <w:rsid w:val="005E642E"/>
    <w:rsid w:val="005F3D28"/>
    <w:rsid w:val="005F52AE"/>
    <w:rsid w:val="005F6E16"/>
    <w:rsid w:val="00602A30"/>
    <w:rsid w:val="006054BF"/>
    <w:rsid w:val="00617301"/>
    <w:rsid w:val="00646289"/>
    <w:rsid w:val="00646C58"/>
    <w:rsid w:val="0065320E"/>
    <w:rsid w:val="00664752"/>
    <w:rsid w:val="00673ABE"/>
    <w:rsid w:val="006777CE"/>
    <w:rsid w:val="006934E1"/>
    <w:rsid w:val="00694200"/>
    <w:rsid w:val="0069616E"/>
    <w:rsid w:val="006A0604"/>
    <w:rsid w:val="006A7042"/>
    <w:rsid w:val="006A7123"/>
    <w:rsid w:val="006B0F4B"/>
    <w:rsid w:val="006D456D"/>
    <w:rsid w:val="006D7313"/>
    <w:rsid w:val="006E5C14"/>
    <w:rsid w:val="006F408B"/>
    <w:rsid w:val="00703777"/>
    <w:rsid w:val="00716804"/>
    <w:rsid w:val="007206B0"/>
    <w:rsid w:val="00737A20"/>
    <w:rsid w:val="0074381E"/>
    <w:rsid w:val="00754417"/>
    <w:rsid w:val="00795DC2"/>
    <w:rsid w:val="007B750A"/>
    <w:rsid w:val="007C0CD1"/>
    <w:rsid w:val="007C220B"/>
    <w:rsid w:val="007C257B"/>
    <w:rsid w:val="007C27C2"/>
    <w:rsid w:val="007C4FF4"/>
    <w:rsid w:val="007E0D5B"/>
    <w:rsid w:val="007E2276"/>
    <w:rsid w:val="007F218B"/>
    <w:rsid w:val="00810D0C"/>
    <w:rsid w:val="00824025"/>
    <w:rsid w:val="008277F5"/>
    <w:rsid w:val="0083475B"/>
    <w:rsid w:val="008370F2"/>
    <w:rsid w:val="00841058"/>
    <w:rsid w:val="00844953"/>
    <w:rsid w:val="00846C2E"/>
    <w:rsid w:val="00847B3C"/>
    <w:rsid w:val="00851ECC"/>
    <w:rsid w:val="00861D45"/>
    <w:rsid w:val="00866211"/>
    <w:rsid w:val="00890F33"/>
    <w:rsid w:val="008A2192"/>
    <w:rsid w:val="008A584F"/>
    <w:rsid w:val="008B0BE1"/>
    <w:rsid w:val="008C6A37"/>
    <w:rsid w:val="008D0B65"/>
    <w:rsid w:val="008D7A7F"/>
    <w:rsid w:val="008E4B67"/>
    <w:rsid w:val="008F0A65"/>
    <w:rsid w:val="008F7F2F"/>
    <w:rsid w:val="0090543A"/>
    <w:rsid w:val="00912DED"/>
    <w:rsid w:val="009224E2"/>
    <w:rsid w:val="00922C71"/>
    <w:rsid w:val="00931ADF"/>
    <w:rsid w:val="009339F5"/>
    <w:rsid w:val="00933DD8"/>
    <w:rsid w:val="00934F3E"/>
    <w:rsid w:val="00937D77"/>
    <w:rsid w:val="00946BC0"/>
    <w:rsid w:val="00962587"/>
    <w:rsid w:val="009822BE"/>
    <w:rsid w:val="00990C9A"/>
    <w:rsid w:val="009970B7"/>
    <w:rsid w:val="009A08A7"/>
    <w:rsid w:val="009A3307"/>
    <w:rsid w:val="009A41AC"/>
    <w:rsid w:val="009A45FD"/>
    <w:rsid w:val="009A47C1"/>
    <w:rsid w:val="009B0D59"/>
    <w:rsid w:val="009B0FCC"/>
    <w:rsid w:val="009C3FA3"/>
    <w:rsid w:val="009C4227"/>
    <w:rsid w:val="009C5EC4"/>
    <w:rsid w:val="009D1FD1"/>
    <w:rsid w:val="009D2134"/>
    <w:rsid w:val="009E0550"/>
    <w:rsid w:val="009E6A2C"/>
    <w:rsid w:val="009F0927"/>
    <w:rsid w:val="00A01A53"/>
    <w:rsid w:val="00A020B8"/>
    <w:rsid w:val="00A02970"/>
    <w:rsid w:val="00A1342C"/>
    <w:rsid w:val="00A15BB3"/>
    <w:rsid w:val="00A169EE"/>
    <w:rsid w:val="00A25266"/>
    <w:rsid w:val="00A325D0"/>
    <w:rsid w:val="00A37FB3"/>
    <w:rsid w:val="00A410A3"/>
    <w:rsid w:val="00A43941"/>
    <w:rsid w:val="00A47777"/>
    <w:rsid w:val="00A50357"/>
    <w:rsid w:val="00A52A4D"/>
    <w:rsid w:val="00A54C43"/>
    <w:rsid w:val="00A54C55"/>
    <w:rsid w:val="00A62D36"/>
    <w:rsid w:val="00A64852"/>
    <w:rsid w:val="00A72E46"/>
    <w:rsid w:val="00A74096"/>
    <w:rsid w:val="00A8081F"/>
    <w:rsid w:val="00A8708A"/>
    <w:rsid w:val="00A918A4"/>
    <w:rsid w:val="00A91C28"/>
    <w:rsid w:val="00A96D04"/>
    <w:rsid w:val="00AB093E"/>
    <w:rsid w:val="00AB791A"/>
    <w:rsid w:val="00AC0500"/>
    <w:rsid w:val="00AC3444"/>
    <w:rsid w:val="00AC4DF4"/>
    <w:rsid w:val="00AD51D9"/>
    <w:rsid w:val="00AD6740"/>
    <w:rsid w:val="00AD6772"/>
    <w:rsid w:val="00AE14F7"/>
    <w:rsid w:val="00AE3DA6"/>
    <w:rsid w:val="00AF0A58"/>
    <w:rsid w:val="00AF121D"/>
    <w:rsid w:val="00AF38CA"/>
    <w:rsid w:val="00B03433"/>
    <w:rsid w:val="00B100CB"/>
    <w:rsid w:val="00B1463F"/>
    <w:rsid w:val="00B154E2"/>
    <w:rsid w:val="00B25010"/>
    <w:rsid w:val="00B370F4"/>
    <w:rsid w:val="00B4348E"/>
    <w:rsid w:val="00B45D35"/>
    <w:rsid w:val="00B47C04"/>
    <w:rsid w:val="00B53EC1"/>
    <w:rsid w:val="00B66FA2"/>
    <w:rsid w:val="00B757C2"/>
    <w:rsid w:val="00B90553"/>
    <w:rsid w:val="00B91BBF"/>
    <w:rsid w:val="00B93818"/>
    <w:rsid w:val="00BA2588"/>
    <w:rsid w:val="00BA3C6F"/>
    <w:rsid w:val="00BA407A"/>
    <w:rsid w:val="00BB359F"/>
    <w:rsid w:val="00BB423E"/>
    <w:rsid w:val="00BC0DF6"/>
    <w:rsid w:val="00BC3841"/>
    <w:rsid w:val="00BC5E5F"/>
    <w:rsid w:val="00BC76FF"/>
    <w:rsid w:val="00BF3615"/>
    <w:rsid w:val="00BF54DA"/>
    <w:rsid w:val="00BF7933"/>
    <w:rsid w:val="00C1455B"/>
    <w:rsid w:val="00C148BB"/>
    <w:rsid w:val="00C149C4"/>
    <w:rsid w:val="00C17C17"/>
    <w:rsid w:val="00C24562"/>
    <w:rsid w:val="00C378B1"/>
    <w:rsid w:val="00C435D4"/>
    <w:rsid w:val="00C50520"/>
    <w:rsid w:val="00C63085"/>
    <w:rsid w:val="00C64EC0"/>
    <w:rsid w:val="00C70269"/>
    <w:rsid w:val="00C73CFA"/>
    <w:rsid w:val="00C77359"/>
    <w:rsid w:val="00C8411D"/>
    <w:rsid w:val="00C84F06"/>
    <w:rsid w:val="00C96C5A"/>
    <w:rsid w:val="00CA1B19"/>
    <w:rsid w:val="00CA68E2"/>
    <w:rsid w:val="00CB0036"/>
    <w:rsid w:val="00CB119F"/>
    <w:rsid w:val="00CC066C"/>
    <w:rsid w:val="00CE05B1"/>
    <w:rsid w:val="00CE5A0A"/>
    <w:rsid w:val="00CE6EAE"/>
    <w:rsid w:val="00CE7964"/>
    <w:rsid w:val="00CE7AC9"/>
    <w:rsid w:val="00CE7B3E"/>
    <w:rsid w:val="00CF3C5E"/>
    <w:rsid w:val="00D055B0"/>
    <w:rsid w:val="00D07F2D"/>
    <w:rsid w:val="00D13688"/>
    <w:rsid w:val="00D14C1F"/>
    <w:rsid w:val="00D15FA8"/>
    <w:rsid w:val="00D23D4D"/>
    <w:rsid w:val="00D27938"/>
    <w:rsid w:val="00D27B83"/>
    <w:rsid w:val="00D51CC5"/>
    <w:rsid w:val="00D55851"/>
    <w:rsid w:val="00D574FF"/>
    <w:rsid w:val="00D608C7"/>
    <w:rsid w:val="00D8056F"/>
    <w:rsid w:val="00D877BB"/>
    <w:rsid w:val="00D91D08"/>
    <w:rsid w:val="00D92B61"/>
    <w:rsid w:val="00DB28E7"/>
    <w:rsid w:val="00DB3194"/>
    <w:rsid w:val="00DC08C9"/>
    <w:rsid w:val="00DD6E45"/>
    <w:rsid w:val="00DE477D"/>
    <w:rsid w:val="00DE5D74"/>
    <w:rsid w:val="00DE7CDF"/>
    <w:rsid w:val="00DF0B81"/>
    <w:rsid w:val="00DF2103"/>
    <w:rsid w:val="00DF4EF1"/>
    <w:rsid w:val="00DF6570"/>
    <w:rsid w:val="00E01833"/>
    <w:rsid w:val="00E27103"/>
    <w:rsid w:val="00E37F65"/>
    <w:rsid w:val="00E51564"/>
    <w:rsid w:val="00E62551"/>
    <w:rsid w:val="00E65451"/>
    <w:rsid w:val="00E65BBC"/>
    <w:rsid w:val="00E74166"/>
    <w:rsid w:val="00E75826"/>
    <w:rsid w:val="00E804B9"/>
    <w:rsid w:val="00E8177A"/>
    <w:rsid w:val="00E839D5"/>
    <w:rsid w:val="00E872DD"/>
    <w:rsid w:val="00E90B38"/>
    <w:rsid w:val="00E90C89"/>
    <w:rsid w:val="00E95C79"/>
    <w:rsid w:val="00EA4975"/>
    <w:rsid w:val="00EA6A5C"/>
    <w:rsid w:val="00EB06BE"/>
    <w:rsid w:val="00EB6AAF"/>
    <w:rsid w:val="00EE59CA"/>
    <w:rsid w:val="00F11449"/>
    <w:rsid w:val="00F211C0"/>
    <w:rsid w:val="00F224AE"/>
    <w:rsid w:val="00F5220F"/>
    <w:rsid w:val="00F54E60"/>
    <w:rsid w:val="00F5688C"/>
    <w:rsid w:val="00F619E7"/>
    <w:rsid w:val="00F67141"/>
    <w:rsid w:val="00F720C0"/>
    <w:rsid w:val="00F729CE"/>
    <w:rsid w:val="00F81314"/>
    <w:rsid w:val="00F86B2D"/>
    <w:rsid w:val="00F86C27"/>
    <w:rsid w:val="00F86DF0"/>
    <w:rsid w:val="00F943D8"/>
    <w:rsid w:val="00FB4035"/>
    <w:rsid w:val="00FC57FA"/>
    <w:rsid w:val="00FE3D89"/>
    <w:rsid w:val="00FE7BA7"/>
    <w:rsid w:val="00FF1C3D"/>
    <w:rsid w:val="04A62A1C"/>
    <w:rsid w:val="04C11604"/>
    <w:rsid w:val="06163BD1"/>
    <w:rsid w:val="07C35B28"/>
    <w:rsid w:val="08311465"/>
    <w:rsid w:val="0C6D3E1F"/>
    <w:rsid w:val="0E0A595C"/>
    <w:rsid w:val="0E3F0579"/>
    <w:rsid w:val="0F182768"/>
    <w:rsid w:val="10AA73F0"/>
    <w:rsid w:val="116B3023"/>
    <w:rsid w:val="1204617D"/>
    <w:rsid w:val="18D47700"/>
    <w:rsid w:val="1C4240E5"/>
    <w:rsid w:val="1C7E45DE"/>
    <w:rsid w:val="1CBD04AB"/>
    <w:rsid w:val="1D4053A6"/>
    <w:rsid w:val="1D681DEC"/>
    <w:rsid w:val="215C4736"/>
    <w:rsid w:val="21697719"/>
    <w:rsid w:val="216E6D19"/>
    <w:rsid w:val="21843C8D"/>
    <w:rsid w:val="2186530F"/>
    <w:rsid w:val="2250591D"/>
    <w:rsid w:val="22D622C7"/>
    <w:rsid w:val="24092228"/>
    <w:rsid w:val="2426102C"/>
    <w:rsid w:val="248C5333"/>
    <w:rsid w:val="256035B5"/>
    <w:rsid w:val="25EE3CB6"/>
    <w:rsid w:val="268758BC"/>
    <w:rsid w:val="27514906"/>
    <w:rsid w:val="28602FA0"/>
    <w:rsid w:val="291D29FD"/>
    <w:rsid w:val="2A5A5DE2"/>
    <w:rsid w:val="2C0025FA"/>
    <w:rsid w:val="2D67693D"/>
    <w:rsid w:val="2DBB0A37"/>
    <w:rsid w:val="2E554CE2"/>
    <w:rsid w:val="2F7962C5"/>
    <w:rsid w:val="31C14142"/>
    <w:rsid w:val="354C2609"/>
    <w:rsid w:val="35551771"/>
    <w:rsid w:val="3557428F"/>
    <w:rsid w:val="379D78E5"/>
    <w:rsid w:val="398C07DC"/>
    <w:rsid w:val="3B793DE1"/>
    <w:rsid w:val="3D407E3C"/>
    <w:rsid w:val="3D485717"/>
    <w:rsid w:val="3DA212CB"/>
    <w:rsid w:val="3EF7064B"/>
    <w:rsid w:val="3FCB28EB"/>
    <w:rsid w:val="40324B88"/>
    <w:rsid w:val="40956B0D"/>
    <w:rsid w:val="43935499"/>
    <w:rsid w:val="43BE0DBB"/>
    <w:rsid w:val="4878739D"/>
    <w:rsid w:val="4C3C28EB"/>
    <w:rsid w:val="4CFF2296"/>
    <w:rsid w:val="4E1E02D7"/>
    <w:rsid w:val="4E4B40B1"/>
    <w:rsid w:val="4F204931"/>
    <w:rsid w:val="512E6400"/>
    <w:rsid w:val="523A79B4"/>
    <w:rsid w:val="53B611D5"/>
    <w:rsid w:val="551B5793"/>
    <w:rsid w:val="59EA1BD8"/>
    <w:rsid w:val="5A932272"/>
    <w:rsid w:val="5C4C6B7A"/>
    <w:rsid w:val="5D3A6375"/>
    <w:rsid w:val="5DE51034"/>
    <w:rsid w:val="5DFF4583"/>
    <w:rsid w:val="5F501CDC"/>
    <w:rsid w:val="600F2399"/>
    <w:rsid w:val="625B7B17"/>
    <w:rsid w:val="63A61A51"/>
    <w:rsid w:val="693A5856"/>
    <w:rsid w:val="69C67F6C"/>
    <w:rsid w:val="6A2D5246"/>
    <w:rsid w:val="6A8249E6"/>
    <w:rsid w:val="6B5C045C"/>
    <w:rsid w:val="6D3E2D09"/>
    <w:rsid w:val="6DC70686"/>
    <w:rsid w:val="6DE54739"/>
    <w:rsid w:val="6FB256A1"/>
    <w:rsid w:val="70C42D2B"/>
    <w:rsid w:val="71CF5404"/>
    <w:rsid w:val="721F0751"/>
    <w:rsid w:val="73A82400"/>
    <w:rsid w:val="748F20DD"/>
    <w:rsid w:val="772067E2"/>
    <w:rsid w:val="77EFDD89"/>
    <w:rsid w:val="7ECE5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1DE72"/>
  <w15:docId w15:val="{289A4A0F-C0C0-44DD-9A6C-8A11B194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adjustRightInd w:val="0"/>
      <w:spacing w:line="360" w:lineRule="atLeast"/>
      <w:textAlignment w:val="baseline"/>
    </w:pPr>
    <w:rPr>
      <w:sz w:val="24"/>
      <w:lang w:eastAsia="zh-CN"/>
    </w:rPr>
  </w:style>
  <w:style w:type="paragraph" w:styleId="1">
    <w:name w:val="heading 1"/>
    <w:basedOn w:val="a"/>
    <w:next w:val="a"/>
    <w:link w:val="10"/>
    <w:autoRedefine/>
    <w:uiPriority w:val="9"/>
    <w:qFormat/>
    <w:pPr>
      <w:keepNext/>
      <w:keepLines/>
      <w:spacing w:before="340" w:after="330" w:line="578" w:lineRule="atLeast"/>
      <w:outlineLvl w:val="0"/>
    </w:pPr>
    <w:rPr>
      <w:b/>
      <w:bCs/>
      <w:kern w:val="44"/>
      <w:sz w:val="44"/>
      <w:szCs w:val="44"/>
    </w:rPr>
  </w:style>
  <w:style w:type="paragraph" w:styleId="2">
    <w:name w:val="heading 2"/>
    <w:basedOn w:val="a"/>
    <w:next w:val="a"/>
    <w:link w:val="20"/>
    <w:uiPriority w:val="9"/>
    <w:qFormat/>
    <w:pPr>
      <w:keepNext/>
      <w:keepLines/>
      <w:spacing w:before="260" w:after="260" w:line="416" w:lineRule="atLeast"/>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autoRedefine/>
    <w:semiHidden/>
    <w:qFormat/>
    <w:pPr>
      <w:shd w:val="clear" w:color="auto" w:fill="000080"/>
    </w:pPr>
  </w:style>
  <w:style w:type="paragraph" w:styleId="a4">
    <w:name w:val="Balloon Text"/>
    <w:basedOn w:val="a"/>
    <w:link w:val="a5"/>
    <w:autoRedefine/>
    <w:qFormat/>
    <w:pPr>
      <w:spacing w:line="240" w:lineRule="auto"/>
    </w:pPr>
    <w:rPr>
      <w:sz w:val="18"/>
      <w:szCs w:val="18"/>
    </w:rPr>
  </w:style>
  <w:style w:type="paragraph" w:styleId="a6">
    <w:name w:val="footer"/>
    <w:basedOn w:val="a"/>
    <w:link w:val="a7"/>
    <w:autoRedefine/>
    <w:uiPriority w:val="99"/>
    <w:qFormat/>
    <w:pPr>
      <w:tabs>
        <w:tab w:val="center" w:pos="4153"/>
        <w:tab w:val="right" w:pos="8306"/>
      </w:tabs>
      <w:snapToGrid w:val="0"/>
      <w:spacing w:line="240" w:lineRule="atLeast"/>
    </w:pPr>
    <w:rPr>
      <w:sz w:val="18"/>
      <w:szCs w:val="18"/>
    </w:rPr>
  </w:style>
  <w:style w:type="paragraph" w:styleId="a8">
    <w:name w:val="header"/>
    <w:basedOn w:val="a"/>
    <w:autoRedefine/>
    <w:qFormat/>
    <w:pPr>
      <w:pBdr>
        <w:bottom w:val="single" w:sz="6" w:space="1" w:color="auto"/>
      </w:pBdr>
      <w:tabs>
        <w:tab w:val="center" w:pos="4153"/>
        <w:tab w:val="right" w:pos="8306"/>
      </w:tabs>
      <w:snapToGrid w:val="0"/>
      <w:spacing w:line="240" w:lineRule="atLeast"/>
      <w:jc w:val="center"/>
    </w:pPr>
    <w:rPr>
      <w:sz w:val="18"/>
      <w:szCs w:val="18"/>
    </w:rPr>
  </w:style>
  <w:style w:type="paragraph" w:styleId="TOC2">
    <w:name w:val="toc 2"/>
    <w:basedOn w:val="a"/>
    <w:next w:val="a"/>
    <w:autoRedefine/>
    <w:uiPriority w:val="39"/>
    <w:unhideWhenUsed/>
    <w:qFormat/>
    <w:pPr>
      <w:widowControl/>
      <w:adjustRightInd/>
      <w:spacing w:after="100" w:line="276" w:lineRule="auto"/>
      <w:ind w:left="220"/>
      <w:textAlignment w:val="auto"/>
    </w:pPr>
    <w:rPr>
      <w:rFonts w:ascii="Calibri" w:hAnsi="Calibri"/>
      <w:sz w:val="22"/>
      <w:szCs w:val="22"/>
    </w:rPr>
  </w:style>
  <w:style w:type="character" w:styleId="a9">
    <w:name w:val="page number"/>
    <w:autoRedefine/>
    <w:qFormat/>
  </w:style>
  <w:style w:type="character" w:customStyle="1" w:styleId="10">
    <w:name w:val="标题 1 字符"/>
    <w:link w:val="1"/>
    <w:autoRedefine/>
    <w:uiPriority w:val="9"/>
    <w:qFormat/>
    <w:rPr>
      <w:rFonts w:ascii="Times New Roman" w:hAnsi="Times New Roman"/>
      <w:b/>
      <w:bCs/>
      <w:kern w:val="44"/>
      <w:sz w:val="44"/>
      <w:szCs w:val="44"/>
    </w:rPr>
  </w:style>
  <w:style w:type="character" w:customStyle="1" w:styleId="20">
    <w:name w:val="标题 2 字符"/>
    <w:link w:val="2"/>
    <w:autoRedefine/>
    <w:uiPriority w:val="9"/>
    <w:qFormat/>
    <w:rPr>
      <w:rFonts w:ascii="Cambria" w:hAnsi="Cambria"/>
      <w:b/>
      <w:bCs/>
      <w:sz w:val="32"/>
      <w:szCs w:val="32"/>
    </w:rPr>
  </w:style>
  <w:style w:type="character" w:customStyle="1" w:styleId="a5">
    <w:name w:val="批注框文本 字符"/>
    <w:link w:val="a4"/>
    <w:autoRedefine/>
    <w:qFormat/>
    <w:rPr>
      <w:sz w:val="18"/>
      <w:szCs w:val="18"/>
    </w:rPr>
  </w:style>
  <w:style w:type="character" w:customStyle="1" w:styleId="a7">
    <w:name w:val="页脚 字符"/>
    <w:link w:val="a6"/>
    <w:autoRedefine/>
    <w:uiPriority w:val="99"/>
    <w:qFormat/>
    <w:rPr>
      <w:sz w:val="18"/>
      <w:szCs w:val="18"/>
    </w:rPr>
  </w:style>
  <w:style w:type="paragraph" w:customStyle="1" w:styleId="CharChar">
    <w:name w:val="Char Char"/>
    <w:basedOn w:val="a3"/>
    <w:autoRedefine/>
    <w:qFormat/>
    <w:pPr>
      <w:adjustRightInd/>
      <w:spacing w:line="240" w:lineRule="auto"/>
      <w:jc w:val="both"/>
      <w:textAlignment w:val="auto"/>
    </w:pPr>
  </w:style>
  <w:style w:type="paragraph" w:styleId="aa">
    <w:name w:val="List Paragraph"/>
    <w:basedOn w:val="a"/>
    <w:autoRedefine/>
    <w:uiPriority w:val="34"/>
    <w:qFormat/>
    <w:pPr>
      <w:adjustRightInd/>
      <w:spacing w:line="240" w:lineRule="auto"/>
      <w:ind w:firstLineChars="200" w:firstLine="420"/>
      <w:jc w:val="both"/>
      <w:textAlignment w:val="auto"/>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12</Pages>
  <Words>630</Words>
  <Characters>3595</Characters>
  <Application>Microsoft Office Word</Application>
  <DocSecurity>0</DocSecurity>
  <Lines>29</Lines>
  <Paragraphs>8</Paragraphs>
  <ScaleCrop>false</ScaleCrop>
  <Company>微软中国</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朱春礼</dc:creator>
  <cp:lastModifiedBy>rui liu</cp:lastModifiedBy>
  <cp:revision>9</cp:revision>
  <cp:lastPrinted>2022-01-18T17:13:00Z</cp:lastPrinted>
  <dcterms:created xsi:type="dcterms:W3CDTF">2019-01-31T15:44:00Z</dcterms:created>
  <dcterms:modified xsi:type="dcterms:W3CDTF">2024-03-26T03:07:00Z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4B95CAB44E9D495995FD1933C8C9099D_13</vt:lpwstr>
  </property>
  <property fmtid="{D5CDD505-2E9C-101B-9397-08002B2CF9AE}" pid="3" name="KSOProductBuildVer">
    <vt:lpwstr>2052-12.1.0.16388</vt:lpwstr>
  </property>
</Properties>
</file>